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B95582" w:rsidRDefault="00DF607B">
      <w:pPr>
        <w:spacing w:before="120" w:after="120"/>
        <w:rPr>
          <w:rFonts w:ascii="Arial" w:hAnsi="Arial" w:cs="Arial"/>
          <w:b/>
          <w:color w:val="000000" w:themeColor="text1"/>
          <w:sz w:val="26"/>
        </w:rPr>
      </w:pPr>
      <w:r w:rsidRPr="00B95582">
        <w:rPr>
          <w:rFonts w:ascii="Arial" w:hAnsi="Arial" w:cs="Arial"/>
          <w:b/>
          <w:color w:val="000000" w:themeColor="text1"/>
          <w:sz w:val="26"/>
        </w:rPr>
        <w:t>Class Summary</w:t>
      </w:r>
    </w:p>
    <w:p w14:paraId="45C0CE95" w14:textId="24DF0A4B" w:rsidR="00DF607B" w:rsidRPr="00B95582" w:rsidRDefault="00DF607B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The responsibilities</w:t>
      </w:r>
      <w:r w:rsidR="008719D2" w:rsidRPr="00B95582">
        <w:rPr>
          <w:rFonts w:ascii="Arial" w:hAnsi="Arial" w:cs="Arial"/>
          <w:color w:val="000000" w:themeColor="text1"/>
          <w:sz w:val="22"/>
          <w:szCs w:val="22"/>
        </w:rPr>
        <w:t xml:space="preserve"> of this classification include</w:t>
      </w:r>
      <w:r w:rsidR="00942D72" w:rsidRPr="00B95582">
        <w:rPr>
          <w:rFonts w:ascii="Arial" w:hAnsi="Arial" w:cs="Arial"/>
          <w:color w:val="000000" w:themeColor="text1"/>
          <w:sz w:val="22"/>
          <w:szCs w:val="22"/>
        </w:rPr>
        <w:t xml:space="preserve"> supervising and overseeing the work of communications specialists during a shift or within an organizational unit.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077D" w:rsidRPr="00B95582">
        <w:rPr>
          <w:rFonts w:ascii="Arial" w:hAnsi="Arial" w:cs="Arial"/>
          <w:color w:val="000000" w:themeColor="text1"/>
          <w:sz w:val="22"/>
          <w:szCs w:val="22"/>
        </w:rPr>
        <w:t xml:space="preserve">It 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0040077D" w:rsidRPr="00B95582">
        <w:rPr>
          <w:rFonts w:ascii="Arial" w:hAnsi="Arial" w:cs="Arial"/>
          <w:color w:val="000000" w:themeColor="text1"/>
          <w:sz w:val="22"/>
          <w:szCs w:val="22"/>
        </w:rPr>
        <w:t>at the first-line supervisor level, and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 xml:space="preserve"> incumbents are responsible for the effective and efficient operation of the Communication Center.</w:t>
      </w:r>
    </w:p>
    <w:p w14:paraId="45C0CE96" w14:textId="77777777" w:rsidR="00DF607B" w:rsidRPr="00B95582" w:rsidRDefault="00DF607B">
      <w:pPr>
        <w:spacing w:before="120" w:after="120"/>
        <w:rPr>
          <w:rFonts w:ascii="Arial" w:hAnsi="Arial" w:cs="Arial"/>
          <w:b/>
          <w:color w:val="000000" w:themeColor="text1"/>
          <w:sz w:val="26"/>
        </w:rPr>
      </w:pPr>
      <w:r w:rsidRPr="00B95582">
        <w:rPr>
          <w:rFonts w:ascii="Arial" w:hAnsi="Arial" w:cs="Arial"/>
          <w:b/>
          <w:color w:val="000000" w:themeColor="text1"/>
          <w:sz w:val="26"/>
        </w:rPr>
        <w:t>Distinguishing Characteristics</w:t>
      </w:r>
    </w:p>
    <w:p w14:paraId="45C0CE97" w14:textId="0A4B74AC" w:rsidR="0090245D" w:rsidRPr="00B95582" w:rsidRDefault="004367A2" w:rsidP="00B2381E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This is </w:t>
      </w:r>
      <w:r w:rsidR="00942D72" w:rsidRPr="00B95582">
        <w:rPr>
          <w:rFonts w:ascii="Arial" w:hAnsi="Arial" w:cs="Arial"/>
          <w:color w:val="000000" w:themeColor="text1"/>
          <w:sz w:val="22"/>
          <w:szCs w:val="22"/>
        </w:rPr>
        <w:t>a single-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>level classification</w:t>
      </w:r>
      <w:r w:rsidR="00942D72" w:rsidRPr="00B9558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7469C" w:rsidRPr="00B95582">
        <w:rPr>
          <w:rFonts w:ascii="Arial" w:hAnsi="Arial" w:cs="Arial"/>
          <w:color w:val="000000" w:themeColor="text1"/>
          <w:sz w:val="22"/>
          <w:szCs w:val="22"/>
        </w:rPr>
        <w:t xml:space="preserve">This classification is distinguished from the Communications Specialists classification in that incumbents in the Communications Supervisor classification's primary function is 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>supervising</w:t>
      </w:r>
      <w:r w:rsidR="0077469C" w:rsidRPr="00B95582">
        <w:rPr>
          <w:rFonts w:ascii="Arial" w:hAnsi="Arial" w:cs="Arial"/>
          <w:color w:val="000000" w:themeColor="text1"/>
          <w:sz w:val="22"/>
          <w:szCs w:val="22"/>
        </w:rPr>
        <w:t xml:space="preserve"> Communications Specialists - Dispatchers and Communications Specialists – Receivers. </w:t>
      </w:r>
    </w:p>
    <w:p w14:paraId="45C0CE98" w14:textId="77777777" w:rsidR="00DF607B" w:rsidRPr="00B95582" w:rsidRDefault="00DF607B">
      <w:pPr>
        <w:spacing w:before="120" w:after="120"/>
        <w:rPr>
          <w:rFonts w:ascii="Arial" w:hAnsi="Arial" w:cs="Arial"/>
          <w:b/>
          <w:color w:val="000000" w:themeColor="text1"/>
          <w:sz w:val="26"/>
        </w:rPr>
      </w:pPr>
      <w:r w:rsidRPr="00B95582">
        <w:rPr>
          <w:rFonts w:ascii="Arial" w:hAnsi="Arial" w:cs="Arial"/>
          <w:b/>
          <w:color w:val="000000" w:themeColor="text1"/>
          <w:sz w:val="26"/>
        </w:rPr>
        <w:t>Examples of Duties</w:t>
      </w:r>
    </w:p>
    <w:p w14:paraId="20F0FE27" w14:textId="2B5613A5" w:rsidR="00980B6D" w:rsidRPr="00B95582" w:rsidRDefault="00980B6D" w:rsidP="00980B6D">
      <w:pPr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Supervise assigned staff by performing or participating in the following personnel responsibilities: training, staff selection, recommending and/or implementing disciplinary actions, and assisting with labor relations issues. Evaluate and formally and informally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 xml:space="preserve"> document work performance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>; coach, counsel, monitor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motivate assigned staff. Establish and/or prepare staffing schedules.</w:t>
      </w:r>
    </w:p>
    <w:p w14:paraId="5852E6B3" w14:textId="1FFD9FF5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Plan, schedule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supervise the work activities of subordinates; provide assistance, </w:t>
      </w:r>
      <w:r w:rsidR="00B21DD2" w:rsidRPr="00B95582">
        <w:rPr>
          <w:rFonts w:ascii="Arial" w:hAnsi="Arial" w:cs="Arial"/>
          <w:color w:val="000000" w:themeColor="text1"/>
          <w:sz w:val="22"/>
          <w:szCs w:val="22"/>
        </w:rPr>
        <w:t>guidance,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direction with difficult or unusual problems.</w:t>
      </w:r>
    </w:p>
    <w:p w14:paraId="7F693445" w14:textId="4F7617CE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Identify 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 xml:space="preserve">staff training needs; recommend and provide/obtain necessary training. Ensure that new employees are properly equipped and trained. Assist in/provide training to subordinates on law enforcement principles and procedures and other police-related subjects. 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>Act as the training supervisor on a rotational basis.</w:t>
      </w:r>
    </w:p>
    <w:p w14:paraId="020733B4" w14:textId="49817134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Observe and instruct subordinates </w:t>
      </w:r>
      <w:r w:rsidR="00887F90" w:rsidRPr="00B95582">
        <w:rPr>
          <w:rFonts w:ascii="Arial" w:hAnsi="Arial" w:cs="Arial"/>
          <w:color w:val="000000" w:themeColor="text1"/>
          <w:sz w:val="22"/>
          <w:szCs w:val="22"/>
        </w:rPr>
        <w:t xml:space="preserve">to learn and apply laws, rules, procedures, and regulations in 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>varied situations.</w:t>
      </w:r>
    </w:p>
    <w:p w14:paraId="7C0C2DE6" w14:textId="4D031E79" w:rsidR="00AC61F6" w:rsidRPr="00B95582" w:rsidRDefault="00AC61F6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Assist Communications Specialists with call receiving and dispatch duties when necessary for call center operations. </w:t>
      </w:r>
    </w:p>
    <w:p w14:paraId="695744F3" w14:textId="5BB43196" w:rsidR="00980B6D" w:rsidRPr="00B95582" w:rsidRDefault="00887F90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Review all reports and records prepared by subordinates. Oversee the documentation of case reports and complaints</w:t>
      </w:r>
      <w:r w:rsidR="00980B6D" w:rsidRPr="00B95582">
        <w:rPr>
          <w:rFonts w:ascii="Arial" w:hAnsi="Arial" w:cs="Arial"/>
          <w:color w:val="000000" w:themeColor="text1"/>
          <w:sz w:val="22"/>
          <w:szCs w:val="22"/>
        </w:rPr>
        <w:t xml:space="preserve">. Review and inspect the investigative procedures followed by subordinates to determine 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 xml:space="preserve">the accuracy and thoroughness of the </w:t>
      </w:r>
      <w:r w:rsidR="00980B6D" w:rsidRPr="00B95582">
        <w:rPr>
          <w:rFonts w:ascii="Arial" w:hAnsi="Arial" w:cs="Arial"/>
          <w:color w:val="000000" w:themeColor="text1"/>
          <w:sz w:val="22"/>
          <w:szCs w:val="22"/>
        </w:rPr>
        <w:t xml:space="preserve">investigation. Properly route approved reports.  </w:t>
      </w:r>
    </w:p>
    <w:p w14:paraId="4F601C28" w14:textId="2EDAE413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Provide 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>Public Information Officer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>’s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contact information to members of the media</w:t>
      </w:r>
      <w:r w:rsidR="00887F90" w:rsidRPr="00B95582">
        <w:rPr>
          <w:rFonts w:ascii="Arial" w:hAnsi="Arial" w:cs="Arial"/>
          <w:color w:val="000000" w:themeColor="text1"/>
          <w:sz w:val="22"/>
          <w:szCs w:val="22"/>
        </w:rPr>
        <w:t xml:space="preserve"> and lead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facility tours for citizen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>s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or law enforcement visitors.</w:t>
      </w:r>
    </w:p>
    <w:p w14:paraId="6FF8B689" w14:textId="1BC5B94E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Develop, recommend, and implement modifications or revisions in existing operating procedures.</w:t>
      </w:r>
    </w:p>
    <w:p w14:paraId="6095D4D8" w14:textId="05CFA35E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Maintain accurate attendance and payroll information; update and maintain personnel files.</w:t>
      </w:r>
    </w:p>
    <w:p w14:paraId="68BFED04" w14:textId="644D47F3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Investigate, resolve, keep a record of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report conclusions/outcomes of policy and/or procedure investigations and</w:t>
      </w:r>
      <w:r w:rsidR="00006498" w:rsidRPr="00B95582">
        <w:rPr>
          <w:rFonts w:ascii="Arial" w:hAnsi="Arial" w:cs="Arial"/>
          <w:color w:val="000000" w:themeColor="text1"/>
          <w:sz w:val="22"/>
          <w:szCs w:val="22"/>
        </w:rPr>
        <w:t xml:space="preserve"> work alongside human resources to investigate personnel issues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6498" w:rsidRPr="00B95582">
        <w:rPr>
          <w:rFonts w:ascii="Arial" w:hAnsi="Arial" w:cs="Arial"/>
          <w:color w:val="000000" w:themeColor="text1"/>
          <w:sz w:val="22"/>
          <w:szCs w:val="22"/>
        </w:rPr>
        <w:t>within the communications center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AE85FC" w14:textId="1E0BE3BE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Provide </w:t>
      </w:r>
      <w:r w:rsidR="00B21DD2" w:rsidRPr="00B95582">
        <w:rPr>
          <w:rFonts w:ascii="Arial" w:hAnsi="Arial" w:cs="Arial"/>
          <w:color w:val="000000" w:themeColor="text1"/>
          <w:sz w:val="22"/>
          <w:szCs w:val="22"/>
        </w:rPr>
        <w:t>prompt</w:t>
      </w:r>
      <w:r w:rsidR="00887F90" w:rsidRPr="00B95582">
        <w:rPr>
          <w:rFonts w:ascii="Arial" w:hAnsi="Arial" w:cs="Arial"/>
          <w:color w:val="000000" w:themeColor="text1"/>
          <w:sz w:val="22"/>
          <w:szCs w:val="22"/>
        </w:rPr>
        <w:t>, accurate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call-out notifications for unusual occurrences, specialty unit response</w:t>
      </w:r>
      <w:r w:rsidR="00DD49E2" w:rsidRPr="00B9558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command staff.</w:t>
      </w:r>
    </w:p>
    <w:p w14:paraId="685449C0" w14:textId="0613FA94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Maintain comprehensive knowledge of and competency in using all equipment/technology used in the Communications Center to effect immediate repairs/fixes or to be able to notify appropriate technicians for formal repairs.</w:t>
      </w:r>
    </w:p>
    <w:p w14:paraId="4C24C768" w14:textId="40E3F185" w:rsidR="00980B6D" w:rsidRPr="00B95582" w:rsidRDefault="00980B6D" w:rsidP="00980B6D">
      <w:pPr>
        <w:numPr>
          <w:ilvl w:val="0"/>
          <w:numId w:val="9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Perform other duties as assigned.</w:t>
      </w:r>
    </w:p>
    <w:p w14:paraId="45C0CE9C" w14:textId="77777777" w:rsidR="00DF607B" w:rsidRPr="00B95582" w:rsidRDefault="00DF607B" w:rsidP="00625458">
      <w:pPr>
        <w:spacing w:before="120" w:after="120"/>
        <w:rPr>
          <w:rFonts w:ascii="Arial" w:hAnsi="Arial" w:cs="Arial"/>
          <w:b/>
          <w:color w:val="000000" w:themeColor="text1"/>
          <w:sz w:val="26"/>
        </w:rPr>
      </w:pPr>
      <w:r w:rsidRPr="00B95582">
        <w:rPr>
          <w:rFonts w:ascii="Arial" w:hAnsi="Arial" w:cs="Arial"/>
          <w:b/>
          <w:color w:val="000000" w:themeColor="text1"/>
          <w:sz w:val="26"/>
        </w:rPr>
        <w:lastRenderedPageBreak/>
        <w:t>Knowledge</w:t>
      </w:r>
      <w:r w:rsidR="00B2381E" w:rsidRPr="00B95582">
        <w:rPr>
          <w:rFonts w:ascii="Arial" w:hAnsi="Arial" w:cs="Arial"/>
          <w:b/>
          <w:color w:val="000000" w:themeColor="text1"/>
          <w:sz w:val="26"/>
        </w:rPr>
        <w:t>/</w:t>
      </w:r>
      <w:r w:rsidRPr="00B95582">
        <w:rPr>
          <w:rFonts w:ascii="Arial" w:hAnsi="Arial" w:cs="Arial"/>
          <w:b/>
          <w:color w:val="000000" w:themeColor="text1"/>
          <w:sz w:val="26"/>
        </w:rPr>
        <w:t xml:space="preserve">Skills </w:t>
      </w:r>
    </w:p>
    <w:p w14:paraId="3C1B6AC2" w14:textId="4C10F92C" w:rsidR="00AC61F6" w:rsidRPr="00B95582" w:rsidRDefault="00AC61F6" w:rsidP="00AC61F6">
      <w:pPr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Knowledge of routine police operating procedures </w:t>
      </w:r>
      <w:r w:rsidR="00866560" w:rsidRPr="00B955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>and controlling laws and ordinances</w:t>
      </w:r>
    </w:p>
    <w:p w14:paraId="02DB621B" w14:textId="77777777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Knowledge of </w:t>
      </w:r>
      <w:bookmarkStart w:id="0" w:name="Text15"/>
      <w:r w:rsidRPr="00B95582">
        <w:rPr>
          <w:rFonts w:ascii="Arial" w:hAnsi="Arial" w:cs="Arial"/>
          <w:color w:val="000000" w:themeColor="text1"/>
          <w:sz w:val="22"/>
          <w:szCs w:val="22"/>
        </w:rPr>
        <w:t>the rules and regulations of the King County Sheriff’s Office</w:t>
      </w:r>
    </w:p>
    <w:p w14:paraId="354F602E" w14:textId="77777777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Knowledge of the principles of effective interviewing and report writing </w:t>
      </w:r>
      <w:bookmarkEnd w:id="0"/>
    </w:p>
    <w:p w14:paraId="41298B4C" w14:textId="77777777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Knowledge of first aid principles and skill in their application</w:t>
      </w:r>
    </w:p>
    <w:p w14:paraId="71D1B122" w14:textId="77777777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Knowledge of principles and practices of human resources management and supervision</w:t>
      </w:r>
    </w:p>
    <w:p w14:paraId="14854CFB" w14:textId="77777777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Skill in oral and written communication</w:t>
      </w:r>
    </w:p>
    <w:p w14:paraId="58E6F4C0" w14:textId="594EEA2A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Skill in leading and motivating subordinates</w:t>
      </w:r>
    </w:p>
    <w:p w14:paraId="2F48531A" w14:textId="77777777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Skill in analyzing situations quickly and objectively and determining an appropriate course of action to be taken in any emergency </w:t>
      </w:r>
    </w:p>
    <w:p w14:paraId="04A8CEC3" w14:textId="6E975D66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Skill in training, motivating, supervising, </w:t>
      </w:r>
      <w:r w:rsidR="00B21DD2" w:rsidRPr="00B95582">
        <w:rPr>
          <w:rFonts w:ascii="Arial" w:hAnsi="Arial" w:cs="Arial"/>
          <w:color w:val="000000" w:themeColor="text1"/>
          <w:sz w:val="22"/>
          <w:szCs w:val="22"/>
        </w:rPr>
        <w:t>scheduling,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evaluating the work of subordinates </w:t>
      </w:r>
    </w:p>
    <w:p w14:paraId="0FF3635C" w14:textId="6BB3E395" w:rsidR="00AC61F6" w:rsidRPr="00B95582" w:rsidRDefault="00AC61F6" w:rsidP="00AC61F6">
      <w:pPr>
        <w:pStyle w:val="text"/>
        <w:spacing w:before="120" w:after="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Skill in handling multiple competing priorities</w:t>
      </w:r>
    </w:p>
    <w:p w14:paraId="7806B1F6" w14:textId="52C5BCF0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Skill in analytical thinking, problem solving</w:t>
      </w:r>
      <w:r w:rsidR="00887F90" w:rsidRPr="00B9558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conflict-resolution </w:t>
      </w:r>
    </w:p>
    <w:p w14:paraId="33E624E0" w14:textId="43C4B92D" w:rsidR="00AC61F6" w:rsidRPr="00B95582" w:rsidRDefault="00AC61F6" w:rsidP="00AC61F6">
      <w:pPr>
        <w:pStyle w:val="text"/>
        <w:spacing w:before="120" w:after="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Skill in planning, organization, </w:t>
      </w:r>
      <w:r w:rsidR="00B21DD2" w:rsidRPr="00B95582">
        <w:rPr>
          <w:rFonts w:ascii="Arial" w:hAnsi="Arial" w:cs="Arial"/>
          <w:color w:val="000000" w:themeColor="text1"/>
          <w:sz w:val="22"/>
          <w:szCs w:val="22"/>
        </w:rPr>
        <w:t>time,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project management </w:t>
      </w:r>
    </w:p>
    <w:p w14:paraId="630333AF" w14:textId="749A7151" w:rsidR="00AC61F6" w:rsidRPr="00B95582" w:rsidRDefault="00AC61F6" w:rsidP="00AC61F6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Ability to make appropriate</w:t>
      </w:r>
      <w:r w:rsidR="00887F90" w:rsidRPr="00B9558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timely decisions without immediate management input </w:t>
      </w:r>
    </w:p>
    <w:p w14:paraId="46C27B76" w14:textId="63B85F57" w:rsidR="006F1EE1" w:rsidRPr="00B95582" w:rsidRDefault="00AC61F6" w:rsidP="006F1EE1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Ability to positively affect customer satisfaction by maintaining an effective, </w:t>
      </w:r>
      <w:r w:rsidR="00B21DD2" w:rsidRPr="00B95582">
        <w:rPr>
          <w:rFonts w:ascii="Arial" w:hAnsi="Arial" w:cs="Arial"/>
          <w:color w:val="000000" w:themeColor="text1"/>
          <w:sz w:val="22"/>
          <w:szCs w:val="22"/>
        </w:rPr>
        <w:t>responsive,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concerned staff</w:t>
      </w:r>
    </w:p>
    <w:p w14:paraId="65803E40" w14:textId="77777777" w:rsidR="006F1EE1" w:rsidRPr="00B95582" w:rsidRDefault="00D53051" w:rsidP="006F1EE1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Ability to effectively engage in and sustain relationships with people from diverse cultures and socio-economic backgrounds</w:t>
      </w:r>
    </w:p>
    <w:p w14:paraId="1893E210" w14:textId="77777777" w:rsidR="0040077D" w:rsidRPr="00B95582" w:rsidRDefault="0040077D" w:rsidP="0040077D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Ability to work independently and as a team member</w:t>
      </w:r>
    </w:p>
    <w:p w14:paraId="52BB3C3C" w14:textId="77777777" w:rsidR="0040077D" w:rsidRPr="00B95582" w:rsidRDefault="0040077D" w:rsidP="0040077D">
      <w:pPr>
        <w:pStyle w:val="text"/>
        <w:spacing w:before="120" w:after="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Demonstrated proficiency with business applications, such as Microsoft Office suite</w:t>
      </w:r>
    </w:p>
    <w:p w14:paraId="45C0CEA2" w14:textId="5D468A5D" w:rsidR="00E12A82" w:rsidRPr="00B95582" w:rsidRDefault="00E12A82" w:rsidP="0009471F">
      <w:pPr>
        <w:spacing w:before="120" w:after="120"/>
        <w:rPr>
          <w:rFonts w:ascii="Arial" w:hAnsi="Arial" w:cs="Arial"/>
          <w:b/>
          <w:color w:val="000000" w:themeColor="text1"/>
          <w:sz w:val="26"/>
        </w:rPr>
      </w:pPr>
      <w:r w:rsidRPr="00B95582">
        <w:rPr>
          <w:rFonts w:ascii="Arial" w:hAnsi="Arial" w:cs="Arial"/>
          <w:b/>
          <w:color w:val="000000" w:themeColor="text1"/>
          <w:sz w:val="26"/>
        </w:rPr>
        <w:t>Education and Experience Requirements</w:t>
      </w:r>
    </w:p>
    <w:p w14:paraId="760296D7" w14:textId="666FDC6C" w:rsidR="00005EC9" w:rsidRPr="00B95582" w:rsidRDefault="00675E2B" w:rsidP="004969CB">
      <w:pPr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A</w:t>
      </w:r>
      <w:r w:rsidR="00005EC9" w:rsidRPr="00B95582">
        <w:rPr>
          <w:rFonts w:ascii="Arial" w:hAnsi="Arial" w:cs="Arial"/>
          <w:color w:val="000000" w:themeColor="text1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B95582" w:rsidRDefault="00DF607B" w:rsidP="00625458">
      <w:pPr>
        <w:spacing w:before="120" w:after="120"/>
        <w:rPr>
          <w:rFonts w:ascii="Arial" w:hAnsi="Arial" w:cs="Arial"/>
          <w:b/>
          <w:color w:val="000000" w:themeColor="text1"/>
          <w:sz w:val="26"/>
        </w:rPr>
      </w:pPr>
      <w:r w:rsidRPr="00B95582">
        <w:rPr>
          <w:rFonts w:ascii="Arial" w:hAnsi="Arial" w:cs="Arial"/>
          <w:b/>
          <w:color w:val="000000" w:themeColor="text1"/>
          <w:sz w:val="26"/>
        </w:rPr>
        <w:t>Licensing, Certification and Other Requirements</w:t>
      </w:r>
    </w:p>
    <w:p w14:paraId="14DAFF0A" w14:textId="61B9FEC6" w:rsidR="00675E2B" w:rsidRPr="00B95582" w:rsidRDefault="00675E2B" w:rsidP="00675E2B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This is a Civil Service classification </w:t>
      </w:r>
    </w:p>
    <w:p w14:paraId="3076D62F" w14:textId="0BEE6B2A" w:rsidR="00675E2B" w:rsidRPr="00B95582" w:rsidRDefault="00675E2B" w:rsidP="00675E2B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All incumbents must be US citizens and be able to read and write the English language</w:t>
      </w:r>
    </w:p>
    <w:p w14:paraId="5A03A1B7" w14:textId="3C497547" w:rsidR="00675E2B" w:rsidRPr="00B95582" w:rsidRDefault="00675E2B" w:rsidP="00675E2B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Ability to work rotating shifts</w:t>
      </w:r>
      <w:r w:rsidR="00887F90" w:rsidRPr="00B9558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including nights, weekends</w:t>
      </w:r>
      <w:r w:rsidR="00887F90" w:rsidRPr="00B9558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holidays and demonstrate predictable, </w:t>
      </w:r>
      <w:r w:rsidR="00B21DD2" w:rsidRPr="00B95582">
        <w:rPr>
          <w:rFonts w:ascii="Arial" w:hAnsi="Arial" w:cs="Arial"/>
          <w:color w:val="000000" w:themeColor="text1"/>
          <w:sz w:val="22"/>
          <w:szCs w:val="22"/>
        </w:rPr>
        <w:t>reliable,</w:t>
      </w: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 and timely attendance is required </w:t>
      </w:r>
    </w:p>
    <w:p w14:paraId="585FBEBF" w14:textId="17F7190B" w:rsidR="00675E2B" w:rsidRPr="00B95582" w:rsidRDefault="00675E2B" w:rsidP="00675E2B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 xml:space="preserve">Offers of employment are contingent on passing a thorough background investigation, which includes a polygraph examination and psychological examination  </w:t>
      </w:r>
    </w:p>
    <w:p w14:paraId="45C0CEA7" w14:textId="58AEF4B9" w:rsidR="005E1959" w:rsidRPr="00B95582" w:rsidRDefault="00675E2B" w:rsidP="00675E2B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B95582">
        <w:rPr>
          <w:rFonts w:ascii="Arial" w:hAnsi="Arial" w:cs="Arial"/>
          <w:color w:val="000000" w:themeColor="text1"/>
          <w:sz w:val="22"/>
          <w:szCs w:val="22"/>
        </w:rPr>
        <w:t>Additional licenses, certifications and other requirements determined to be necessary to meet the business needs of the employing unit may be required</w:t>
      </w: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B95582" w:rsidRPr="00B95582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B95582" w:rsidRDefault="00DF607B" w:rsidP="002F2E08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B95582">
              <w:rPr>
                <w:rFonts w:ascii="Arial" w:hAnsi="Arial" w:cs="Arial"/>
                <w:b/>
                <w:color w:val="000000" w:themeColor="text1"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5CBC60A5" w:rsidR="00DF607B" w:rsidRPr="00B95582" w:rsidRDefault="004367A2" w:rsidP="002F2E08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B95582">
              <w:rPr>
                <w:rFonts w:ascii="Arial" w:hAnsi="Arial" w:cs="Arial"/>
                <w:color w:val="000000" w:themeColor="text1"/>
              </w:rPr>
              <w:t xml:space="preserve">Non-Exempt </w:t>
            </w:r>
          </w:p>
        </w:tc>
      </w:tr>
      <w:tr w:rsidR="00B95582" w:rsidRPr="00B95582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B95582" w:rsidRDefault="00772A3C" w:rsidP="002D7EF3">
            <w:pPr>
              <w:rPr>
                <w:rFonts w:ascii="Arial" w:hAnsi="Arial" w:cs="Arial"/>
                <w:b/>
                <w:color w:val="000000" w:themeColor="text1"/>
              </w:rPr>
            </w:pPr>
            <w:r w:rsidRPr="00B95582">
              <w:rPr>
                <w:rFonts w:ascii="Arial" w:hAnsi="Arial" w:cs="Arial"/>
                <w:b/>
                <w:color w:val="000000" w:themeColor="text1"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79780C72" w:rsidR="00303EF0" w:rsidRPr="00B95582" w:rsidRDefault="00772A3C" w:rsidP="002D7EF3">
            <w:pPr>
              <w:rPr>
                <w:rFonts w:ascii="Arial" w:hAnsi="Arial" w:cs="Arial"/>
                <w:color w:val="000000" w:themeColor="text1"/>
              </w:rPr>
            </w:pPr>
            <w:r w:rsidRPr="00B95582">
              <w:rPr>
                <w:rFonts w:ascii="Arial" w:hAnsi="Arial" w:cs="Arial"/>
                <w:color w:val="000000" w:themeColor="text1"/>
              </w:rPr>
              <w:t>C</w:t>
            </w:r>
            <w:r w:rsidR="006F1EE1" w:rsidRPr="00B95582">
              <w:rPr>
                <w:rFonts w:ascii="Arial" w:hAnsi="Arial" w:cs="Arial"/>
                <w:color w:val="000000" w:themeColor="text1"/>
              </w:rPr>
              <w:t>ivil Service</w:t>
            </w:r>
          </w:p>
        </w:tc>
      </w:tr>
      <w:tr w:rsidR="00B95582" w:rsidRPr="00B95582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B95582" w:rsidRDefault="002D7EF3" w:rsidP="002D7EF3">
            <w:pPr>
              <w:rPr>
                <w:rFonts w:ascii="Arial" w:hAnsi="Arial" w:cs="Arial"/>
                <w:b/>
                <w:color w:val="000000" w:themeColor="text1"/>
              </w:rPr>
            </w:pPr>
            <w:r w:rsidRPr="00B95582">
              <w:rPr>
                <w:rFonts w:ascii="Arial" w:hAnsi="Arial" w:cs="Arial"/>
                <w:b/>
                <w:color w:val="000000" w:themeColor="text1"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607B57D2" w:rsidR="00DF607B" w:rsidRPr="00B95582" w:rsidRDefault="00887F90" w:rsidP="002D7EF3">
            <w:pPr>
              <w:rPr>
                <w:rFonts w:ascii="Arial" w:hAnsi="Arial" w:cs="Arial"/>
                <w:color w:val="000000" w:themeColor="text1"/>
              </w:rPr>
            </w:pPr>
            <w:r w:rsidRPr="00B9558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B95582" w:rsidRPr="00B95582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B95582" w:rsidRDefault="002D7EF3" w:rsidP="002D7EF3">
            <w:pPr>
              <w:rPr>
                <w:rFonts w:ascii="Arial" w:hAnsi="Arial" w:cs="Arial"/>
                <w:color w:val="000000" w:themeColor="text1"/>
              </w:rPr>
            </w:pPr>
            <w:r w:rsidRPr="00B95582">
              <w:rPr>
                <w:rFonts w:ascii="Arial" w:hAnsi="Arial" w:cs="Arial"/>
                <w:b/>
                <w:color w:val="000000" w:themeColor="text1"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41D473A1" w:rsidR="00DF607B" w:rsidRPr="00B95582" w:rsidRDefault="002D7EF3" w:rsidP="002D7EF3">
            <w:pPr>
              <w:pStyle w:val="text"/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B95582">
              <w:rPr>
                <w:rFonts w:ascii="Arial" w:hAnsi="Arial" w:cs="Arial"/>
                <w:color w:val="000000" w:themeColor="text1"/>
                <w:sz w:val="20"/>
              </w:rPr>
              <w:t>None</w:t>
            </w:r>
          </w:p>
        </w:tc>
      </w:tr>
      <w:tr w:rsidR="00B95582" w:rsidRPr="00B95582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B95582" w:rsidRDefault="002D7EF3" w:rsidP="002D7EF3">
            <w:pPr>
              <w:rPr>
                <w:rFonts w:ascii="Arial" w:hAnsi="Arial" w:cs="Arial"/>
                <w:b/>
                <w:color w:val="000000" w:themeColor="text1"/>
              </w:rPr>
            </w:pPr>
            <w:r w:rsidRPr="00B95582">
              <w:rPr>
                <w:rFonts w:ascii="Arial" w:hAnsi="Arial" w:cs="Arial"/>
                <w:b/>
                <w:color w:val="000000" w:themeColor="text1"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35DB9D5D" w:rsidR="00675E2B" w:rsidRPr="00B95582" w:rsidRDefault="00887F90" w:rsidP="00005EC9">
            <w:pPr>
              <w:pStyle w:val="text"/>
              <w:spacing w:after="0"/>
              <w:rPr>
                <w:rFonts w:ascii="Arial" w:hAnsi="Arial" w:cs="Arial"/>
                <w:color w:val="000000" w:themeColor="text1"/>
                <w:sz w:val="20"/>
              </w:rPr>
            </w:pPr>
            <w:r w:rsidRPr="00B95582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675E2B" w:rsidRPr="00B95582">
              <w:rPr>
                <w:rFonts w:ascii="Arial" w:hAnsi="Arial" w:cs="Arial"/>
                <w:color w:val="000000" w:themeColor="text1"/>
                <w:sz w:val="20"/>
              </w:rPr>
              <w:t>8/2007</w:t>
            </w:r>
            <w:r w:rsidR="00532BFA" w:rsidRPr="00B9558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75E2B" w:rsidRPr="00B95582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 w:rsidR="00005EC9" w:rsidRPr="00B9558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75E2B" w:rsidRPr="00B95582">
              <w:rPr>
                <w:rFonts w:ascii="Arial" w:hAnsi="Arial" w:cs="Arial"/>
                <w:color w:val="000000" w:themeColor="text1"/>
                <w:sz w:val="20"/>
              </w:rPr>
              <w:t>Updated font and format</w:t>
            </w:r>
          </w:p>
        </w:tc>
      </w:tr>
    </w:tbl>
    <w:p w14:paraId="1CA57997" w14:textId="29C76721" w:rsidR="00675E2B" w:rsidRPr="004969CB" w:rsidRDefault="00675E2B" w:rsidP="00EE32AC">
      <w:pPr>
        <w:pStyle w:val="text"/>
        <w:spacing w:after="0"/>
        <w:rPr>
          <w:rFonts w:ascii="Arial" w:hAnsi="Arial" w:cs="Arial"/>
          <w:bCs/>
        </w:rPr>
      </w:pPr>
      <w:r w:rsidRPr="00B95582">
        <w:rPr>
          <w:color w:val="000000" w:themeColor="text1"/>
        </w:rPr>
        <w:tab/>
      </w:r>
      <w:r>
        <w:tab/>
      </w:r>
      <w:r>
        <w:tab/>
      </w:r>
      <w:r>
        <w:tab/>
      </w:r>
      <w:r w:rsidR="00887F90">
        <w:tab/>
      </w:r>
      <w:r w:rsidR="00425264" w:rsidRPr="00425264">
        <w:rPr>
          <w:rFonts w:ascii="Arial" w:hAnsi="Arial" w:cs="Arial"/>
          <w:color w:val="000000" w:themeColor="text1"/>
          <w:sz w:val="20"/>
        </w:rPr>
        <w:t>10</w:t>
      </w:r>
      <w:r w:rsidRPr="00425264">
        <w:rPr>
          <w:rFonts w:ascii="Arial" w:hAnsi="Arial" w:cs="Arial"/>
          <w:color w:val="000000" w:themeColor="text1"/>
          <w:sz w:val="20"/>
        </w:rPr>
        <w:t>/202</w:t>
      </w:r>
      <w:r w:rsidR="00425264" w:rsidRPr="00425264">
        <w:rPr>
          <w:rFonts w:ascii="Arial" w:hAnsi="Arial" w:cs="Arial"/>
          <w:color w:val="000000" w:themeColor="text1"/>
          <w:sz w:val="20"/>
        </w:rPr>
        <w:t>5</w:t>
      </w:r>
      <w:r w:rsidRPr="00425264">
        <w:rPr>
          <w:rFonts w:ascii="Arial" w:hAnsi="Arial" w:cs="Arial"/>
          <w:color w:val="000000" w:themeColor="text1"/>
          <w:sz w:val="20"/>
        </w:rPr>
        <w:t xml:space="preserve"> </w:t>
      </w:r>
      <w:r w:rsidRPr="002F2E08">
        <w:rPr>
          <w:rFonts w:ascii="Arial" w:hAnsi="Arial" w:cs="Arial"/>
          <w:bCs/>
          <w:sz w:val="20"/>
        </w:rPr>
        <w:t xml:space="preserve">– </w:t>
      </w:r>
      <w:r w:rsidR="00B33E40" w:rsidRPr="002F2E08">
        <w:rPr>
          <w:rFonts w:ascii="Arial" w:hAnsi="Arial" w:cs="Arial"/>
          <w:bCs/>
          <w:sz w:val="20"/>
        </w:rPr>
        <w:t>Updated content</w:t>
      </w:r>
    </w:p>
    <w:sectPr w:rsidR="00675E2B" w:rsidRPr="004969CB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075CFFFB" w:rsidR="00DB4EC4" w:rsidRDefault="00675E2B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Communications Supervisor</w:t>
    </w:r>
  </w:p>
  <w:p w14:paraId="45C0CEBE" w14:textId="494A7D41" w:rsidR="00DB4EC4" w:rsidRDefault="00425264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10</w:t>
    </w:r>
    <w:r w:rsidR="00675E2B">
      <w:rPr>
        <w:rStyle w:val="PageNumber"/>
        <w:rFonts w:ascii="Arial" w:hAnsi="Arial" w:cs="Arial"/>
        <w:sz w:val="18"/>
        <w:szCs w:val="18"/>
      </w:rPr>
      <w:t>/202</w:t>
    </w:r>
    <w:r>
      <w:rPr>
        <w:rStyle w:val="PageNumber"/>
        <w:rFonts w:ascii="Arial" w:hAnsi="Arial" w:cs="Arial"/>
        <w:sz w:val="18"/>
        <w:szCs w:val="18"/>
      </w:rPr>
      <w:t>5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39EBC3CB" w:rsidR="00DB4EC4" w:rsidRPr="003E7835" w:rsidRDefault="00942D72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0007452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19ABDB56" w:rsidR="00DB4EC4" w:rsidRPr="003E7835" w:rsidRDefault="00942D72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COMMUNICATIONS SUPERVISOR</w:t>
          </w:r>
        </w:p>
      </w:tc>
    </w:tr>
  </w:tbl>
  <w:p w14:paraId="45C0CEC9" w14:textId="079ECEFF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45194608">
    <w:abstractNumId w:val="9"/>
  </w:num>
  <w:num w:numId="2" w16cid:durableId="1941836870">
    <w:abstractNumId w:val="14"/>
  </w:num>
  <w:num w:numId="3" w16cid:durableId="2104571284">
    <w:abstractNumId w:val="5"/>
  </w:num>
  <w:num w:numId="4" w16cid:durableId="1709329752">
    <w:abstractNumId w:val="2"/>
  </w:num>
  <w:num w:numId="5" w16cid:durableId="1756123756">
    <w:abstractNumId w:val="15"/>
  </w:num>
  <w:num w:numId="6" w16cid:durableId="1746032973">
    <w:abstractNumId w:val="1"/>
  </w:num>
  <w:num w:numId="7" w16cid:durableId="1174494645">
    <w:abstractNumId w:val="12"/>
  </w:num>
  <w:num w:numId="8" w16cid:durableId="1429160319">
    <w:abstractNumId w:val="10"/>
  </w:num>
  <w:num w:numId="9" w16cid:durableId="94597557">
    <w:abstractNumId w:val="3"/>
  </w:num>
  <w:num w:numId="10" w16cid:durableId="758525296">
    <w:abstractNumId w:val="11"/>
  </w:num>
  <w:num w:numId="11" w16cid:durableId="78916047">
    <w:abstractNumId w:val="8"/>
  </w:num>
  <w:num w:numId="12" w16cid:durableId="122042353">
    <w:abstractNumId w:val="13"/>
  </w:num>
  <w:num w:numId="13" w16cid:durableId="574702372">
    <w:abstractNumId w:val="7"/>
  </w:num>
  <w:num w:numId="14" w16cid:durableId="1681927214">
    <w:abstractNumId w:val="4"/>
  </w:num>
  <w:num w:numId="15" w16cid:durableId="987978944">
    <w:abstractNumId w:val="0"/>
  </w:num>
  <w:num w:numId="16" w16cid:durableId="1407534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06498"/>
    <w:rsid w:val="0009471F"/>
    <w:rsid w:val="000A3314"/>
    <w:rsid w:val="000B56AC"/>
    <w:rsid w:val="000D17D8"/>
    <w:rsid w:val="0011050A"/>
    <w:rsid w:val="00113C68"/>
    <w:rsid w:val="00130C46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2F2E08"/>
    <w:rsid w:val="002F7A42"/>
    <w:rsid w:val="00303EF0"/>
    <w:rsid w:val="00322811"/>
    <w:rsid w:val="00323BF0"/>
    <w:rsid w:val="00360AEB"/>
    <w:rsid w:val="003943F4"/>
    <w:rsid w:val="003A7520"/>
    <w:rsid w:val="003E4DA6"/>
    <w:rsid w:val="003E7835"/>
    <w:rsid w:val="0040077D"/>
    <w:rsid w:val="00402BE9"/>
    <w:rsid w:val="00425264"/>
    <w:rsid w:val="004367A2"/>
    <w:rsid w:val="004509AE"/>
    <w:rsid w:val="00457CE7"/>
    <w:rsid w:val="00474A34"/>
    <w:rsid w:val="004969CB"/>
    <w:rsid w:val="00497183"/>
    <w:rsid w:val="00504BC4"/>
    <w:rsid w:val="005132BD"/>
    <w:rsid w:val="00523771"/>
    <w:rsid w:val="00532BFA"/>
    <w:rsid w:val="00592F72"/>
    <w:rsid w:val="005A1965"/>
    <w:rsid w:val="005E1959"/>
    <w:rsid w:val="005F1FD9"/>
    <w:rsid w:val="006046E5"/>
    <w:rsid w:val="00625458"/>
    <w:rsid w:val="0066152D"/>
    <w:rsid w:val="00675E2B"/>
    <w:rsid w:val="006F1EE1"/>
    <w:rsid w:val="007032DB"/>
    <w:rsid w:val="00772A3C"/>
    <w:rsid w:val="0077469C"/>
    <w:rsid w:val="00790DFB"/>
    <w:rsid w:val="007B510D"/>
    <w:rsid w:val="007F4BD1"/>
    <w:rsid w:val="00823ACF"/>
    <w:rsid w:val="0084439A"/>
    <w:rsid w:val="00866560"/>
    <w:rsid w:val="008719D2"/>
    <w:rsid w:val="00887F90"/>
    <w:rsid w:val="008B52E4"/>
    <w:rsid w:val="0090245D"/>
    <w:rsid w:val="00903661"/>
    <w:rsid w:val="009055D9"/>
    <w:rsid w:val="00921357"/>
    <w:rsid w:val="00942D72"/>
    <w:rsid w:val="00980B6D"/>
    <w:rsid w:val="00985B72"/>
    <w:rsid w:val="00995D72"/>
    <w:rsid w:val="009F1611"/>
    <w:rsid w:val="00A001F2"/>
    <w:rsid w:val="00A55225"/>
    <w:rsid w:val="00AC61F6"/>
    <w:rsid w:val="00AF7566"/>
    <w:rsid w:val="00B012C5"/>
    <w:rsid w:val="00B21DD2"/>
    <w:rsid w:val="00B2381E"/>
    <w:rsid w:val="00B33E40"/>
    <w:rsid w:val="00B36D30"/>
    <w:rsid w:val="00B95582"/>
    <w:rsid w:val="00BB7AB0"/>
    <w:rsid w:val="00C35CCF"/>
    <w:rsid w:val="00C44A78"/>
    <w:rsid w:val="00C5534D"/>
    <w:rsid w:val="00CE11AD"/>
    <w:rsid w:val="00D53051"/>
    <w:rsid w:val="00D73622"/>
    <w:rsid w:val="00DB4EC4"/>
    <w:rsid w:val="00DB5076"/>
    <w:rsid w:val="00DB75FB"/>
    <w:rsid w:val="00DD4674"/>
    <w:rsid w:val="00DD49E2"/>
    <w:rsid w:val="00DF1088"/>
    <w:rsid w:val="00DF607B"/>
    <w:rsid w:val="00E12A82"/>
    <w:rsid w:val="00E21CC6"/>
    <w:rsid w:val="00E31C08"/>
    <w:rsid w:val="00E4795B"/>
    <w:rsid w:val="00EE32AC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DD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F987E-2145-4C1A-8A28-D18A11AEA8F2}">
  <ds:schemaRefs>
    <ds:schemaRef ds:uri="http://purl.org/dc/dcmitype/"/>
    <ds:schemaRef ds:uri="http://schemas.microsoft.com/office/2006/metadata/properties"/>
    <ds:schemaRef ds:uri="http://www.w3.org/XML/1998/namespace"/>
    <ds:schemaRef ds:uri="dd90cae5-04f9-4ad6-b687-7fa19d8f306c"/>
    <ds:schemaRef ds:uri="http://schemas.microsoft.com/office/2006/documentManagement/types"/>
    <ds:schemaRef ds:uri="0def3715-83d5-4f03-9abc-0de0d34801b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4608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2025-10-16T21:29:00Z</dcterms:created>
  <dcterms:modified xsi:type="dcterms:W3CDTF">2025-10-16T23:16:00Z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4aa2993ae1a0139e5ada5cb3585ac4de8867844b5a45669abc2c17d1f4ef2901</vt:lpwstr>
  </property>
</Properties>
</file>