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5C0CE95" w14:textId="7165A1E7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B951EE" w:rsidRPr="00B951EE">
        <w:t xml:space="preserve"> </w:t>
      </w:r>
      <w:r w:rsidR="00B951EE" w:rsidRPr="00B951EE">
        <w:rPr>
          <w:rFonts w:ascii="Arial" w:hAnsi="Arial" w:cs="Arial"/>
          <w:sz w:val="22"/>
          <w:szCs w:val="22"/>
        </w:rPr>
        <w:t>performing professional epidemiology work by initiating epidemiological investigations, conducting disease surveillance</w:t>
      </w:r>
      <w:r w:rsidR="00187B86">
        <w:rPr>
          <w:rFonts w:ascii="Arial" w:hAnsi="Arial" w:cs="Arial"/>
          <w:sz w:val="22"/>
          <w:szCs w:val="22"/>
        </w:rPr>
        <w:t>,</w:t>
      </w:r>
      <w:r w:rsidR="00B951EE" w:rsidRPr="00B951EE">
        <w:rPr>
          <w:rFonts w:ascii="Arial" w:hAnsi="Arial" w:cs="Arial"/>
          <w:sz w:val="22"/>
          <w:szCs w:val="22"/>
        </w:rPr>
        <w:t xml:space="preserve"> and analyzing and presenting health data used to plan and implement public health intervention and prevention programs.</w:t>
      </w:r>
      <w:r w:rsidR="00F16A7C">
        <w:rPr>
          <w:rFonts w:ascii="Arial" w:hAnsi="Arial" w:cs="Arial"/>
          <w:sz w:val="22"/>
          <w:szCs w:val="22"/>
        </w:rPr>
        <w:t xml:space="preserve"> I</w:t>
      </w:r>
      <w:r w:rsidR="00F16A7C" w:rsidRPr="00B951EE">
        <w:rPr>
          <w:rFonts w:ascii="Arial" w:hAnsi="Arial" w:cs="Arial"/>
          <w:sz w:val="22"/>
          <w:szCs w:val="22"/>
        </w:rPr>
        <w:t>ncumbent</w:t>
      </w:r>
      <w:r w:rsidR="00F16A7C">
        <w:rPr>
          <w:rFonts w:ascii="Arial" w:hAnsi="Arial" w:cs="Arial"/>
          <w:sz w:val="22"/>
          <w:szCs w:val="22"/>
        </w:rPr>
        <w:t>s</w:t>
      </w:r>
      <w:r w:rsidR="00F16A7C" w:rsidRPr="00B951EE">
        <w:rPr>
          <w:rFonts w:ascii="Arial" w:hAnsi="Arial" w:cs="Arial"/>
          <w:sz w:val="22"/>
          <w:szCs w:val="22"/>
        </w:rPr>
        <w:t xml:space="preserve"> work under the direction of a supervisor or assigned staff and do not develop research methodology or techniques or supervise other staff.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6FB01980" w14:textId="69FE41C9" w:rsidR="00F16A7C" w:rsidRDefault="00B951EE">
      <w:pPr>
        <w:spacing w:before="120"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This classification is the first level within a three-level classification series. This classification is distinguished from the Epidemiologist II</w:t>
      </w:r>
      <w:r w:rsidR="001A18C9">
        <w:rPr>
          <w:rFonts w:ascii="Arial" w:hAnsi="Arial" w:cs="Arial"/>
          <w:sz w:val="22"/>
          <w:szCs w:val="22"/>
        </w:rPr>
        <w:t xml:space="preserve"> classification</w:t>
      </w:r>
      <w:r w:rsidRPr="00B951EE">
        <w:rPr>
          <w:rFonts w:ascii="Arial" w:hAnsi="Arial" w:cs="Arial"/>
          <w:sz w:val="22"/>
          <w:szCs w:val="22"/>
        </w:rPr>
        <w:t xml:space="preserve"> in that</w:t>
      </w:r>
      <w:r w:rsidR="00F16A7C">
        <w:rPr>
          <w:rFonts w:ascii="Arial" w:hAnsi="Arial" w:cs="Arial"/>
          <w:sz w:val="22"/>
          <w:szCs w:val="22"/>
        </w:rPr>
        <w:t xml:space="preserve"> incumbents within</w:t>
      </w:r>
      <w:r w:rsidRPr="00B951EE">
        <w:rPr>
          <w:rFonts w:ascii="Arial" w:hAnsi="Arial" w:cs="Arial"/>
          <w:sz w:val="22"/>
          <w:szCs w:val="22"/>
        </w:rPr>
        <w:t xml:space="preserve"> the </w:t>
      </w:r>
      <w:r w:rsidR="00F16A7C">
        <w:rPr>
          <w:rFonts w:ascii="Arial" w:hAnsi="Arial" w:cs="Arial"/>
          <w:sz w:val="22"/>
          <w:szCs w:val="22"/>
        </w:rPr>
        <w:t>Epidemiologist II are d</w:t>
      </w:r>
      <w:r w:rsidR="00F16A7C" w:rsidRPr="00F16A7C">
        <w:rPr>
          <w:rFonts w:ascii="Arial" w:hAnsi="Arial" w:cs="Arial"/>
          <w:sz w:val="22"/>
          <w:szCs w:val="22"/>
        </w:rPr>
        <w:t>esign</w:t>
      </w:r>
      <w:r w:rsidR="00F16A7C">
        <w:rPr>
          <w:rFonts w:ascii="Arial" w:hAnsi="Arial" w:cs="Arial"/>
          <w:sz w:val="22"/>
          <w:szCs w:val="22"/>
        </w:rPr>
        <w:t>ing</w:t>
      </w:r>
      <w:r w:rsidR="00F16A7C" w:rsidRPr="00F16A7C">
        <w:rPr>
          <w:rFonts w:ascii="Arial" w:hAnsi="Arial" w:cs="Arial"/>
          <w:sz w:val="22"/>
          <w:szCs w:val="22"/>
        </w:rPr>
        <w:t xml:space="preserve"> and develop</w:t>
      </w:r>
      <w:r w:rsidR="00F16A7C">
        <w:rPr>
          <w:rFonts w:ascii="Arial" w:hAnsi="Arial" w:cs="Arial"/>
          <w:sz w:val="22"/>
          <w:szCs w:val="22"/>
        </w:rPr>
        <w:t>ing</w:t>
      </w:r>
      <w:r w:rsidR="00F16A7C" w:rsidRPr="00F16A7C">
        <w:rPr>
          <w:rFonts w:ascii="Arial" w:hAnsi="Arial" w:cs="Arial"/>
          <w:sz w:val="22"/>
          <w:szCs w:val="22"/>
        </w:rPr>
        <w:t xml:space="preserve"> methodology or techniques for epidemiological studies, public health surveillance systems, and/or community-engaged research.</w:t>
      </w:r>
      <w:r w:rsidRPr="00B951EE">
        <w:rPr>
          <w:rFonts w:ascii="Arial" w:hAnsi="Arial" w:cs="Arial"/>
          <w:sz w:val="22"/>
          <w:szCs w:val="22"/>
        </w:rPr>
        <w:t xml:space="preserve"> </w:t>
      </w:r>
    </w:p>
    <w:p w14:paraId="4F8BD3CB" w14:textId="1E2375DA" w:rsidR="00B951EE" w:rsidRDefault="00B951EE">
      <w:pPr>
        <w:spacing w:before="120"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 xml:space="preserve">This classification is distinguished from the Disease Research and Intervention Specialist in that </w:t>
      </w:r>
      <w:r w:rsidR="00DE4178">
        <w:rPr>
          <w:rFonts w:ascii="Arial" w:hAnsi="Arial" w:cs="Arial"/>
          <w:sz w:val="22"/>
          <w:szCs w:val="22"/>
        </w:rPr>
        <w:t xml:space="preserve">incumbents within </w:t>
      </w:r>
      <w:r w:rsidRPr="00B951EE">
        <w:rPr>
          <w:rFonts w:ascii="Arial" w:hAnsi="Arial" w:cs="Arial"/>
          <w:sz w:val="22"/>
          <w:szCs w:val="22"/>
        </w:rPr>
        <w:t xml:space="preserve">the </w:t>
      </w:r>
      <w:r w:rsidR="00DE4178">
        <w:rPr>
          <w:rFonts w:ascii="Arial" w:hAnsi="Arial" w:cs="Arial"/>
          <w:sz w:val="22"/>
          <w:szCs w:val="22"/>
        </w:rPr>
        <w:t xml:space="preserve">Disease Research and Intervention Specialist </w:t>
      </w:r>
      <w:r w:rsidRPr="00B951EE">
        <w:rPr>
          <w:rFonts w:ascii="Arial" w:hAnsi="Arial" w:cs="Arial"/>
          <w:sz w:val="22"/>
          <w:szCs w:val="22"/>
        </w:rPr>
        <w:t>conduct surveillance activities and collect high-quality data to identify and monitor diseases in King County.</w:t>
      </w:r>
      <w:r w:rsidR="00DE4178">
        <w:rPr>
          <w:rFonts w:ascii="Arial" w:hAnsi="Arial" w:cs="Arial"/>
          <w:sz w:val="22"/>
          <w:szCs w:val="22"/>
        </w:rPr>
        <w:t xml:space="preserve"> </w:t>
      </w:r>
      <w:r w:rsidR="00DE4178" w:rsidRPr="00B951EE">
        <w:rPr>
          <w:rFonts w:ascii="Arial" w:hAnsi="Arial" w:cs="Arial"/>
          <w:sz w:val="22"/>
          <w:szCs w:val="22"/>
        </w:rPr>
        <w:t>This classification is distinguished from the research classifications in that the incumbent is responsible for initiating, conducting</w:t>
      </w:r>
      <w:r w:rsidR="00DE4178">
        <w:rPr>
          <w:rFonts w:ascii="Arial" w:hAnsi="Arial" w:cs="Arial"/>
          <w:sz w:val="22"/>
          <w:szCs w:val="22"/>
        </w:rPr>
        <w:t>,</w:t>
      </w:r>
      <w:r w:rsidR="00DE4178" w:rsidRPr="00B951EE">
        <w:rPr>
          <w:rFonts w:ascii="Arial" w:hAnsi="Arial" w:cs="Arial"/>
          <w:sz w:val="22"/>
          <w:szCs w:val="22"/>
        </w:rPr>
        <w:t xml:space="preserve"> and coordinating epidemiological investigation</w:t>
      </w:r>
      <w:r w:rsidR="00DE4178">
        <w:rPr>
          <w:rFonts w:ascii="Arial" w:hAnsi="Arial" w:cs="Arial"/>
          <w:sz w:val="22"/>
          <w:szCs w:val="22"/>
        </w:rPr>
        <w:t>s</w:t>
      </w:r>
      <w:r w:rsidR="00DE4178" w:rsidRPr="00B951EE">
        <w:rPr>
          <w:rFonts w:ascii="Arial" w:hAnsi="Arial" w:cs="Arial"/>
          <w:sz w:val="22"/>
          <w:szCs w:val="22"/>
        </w:rPr>
        <w:t xml:space="preserve"> of diseases.</w:t>
      </w:r>
    </w:p>
    <w:p w14:paraId="45C0CE98" w14:textId="6705409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4795F44B" w14:textId="77777777" w:rsidR="00B951EE" w:rsidRPr="00A943BB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 exploratory and descriptive analysis of epidemiological data and interpret findings.</w:t>
      </w:r>
    </w:p>
    <w:p w14:paraId="5EC9C187" w14:textId="15D0D769" w:rsidR="00B951EE" w:rsidRPr="00A943BB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A943BB">
        <w:rPr>
          <w:rFonts w:ascii="Arial" w:hAnsi="Arial" w:cs="Arial"/>
          <w:sz w:val="22"/>
          <w:szCs w:val="22"/>
        </w:rPr>
        <w:t xml:space="preserve">aintain and monitor </w:t>
      </w:r>
      <w:r w:rsidR="00187B86">
        <w:rPr>
          <w:rFonts w:ascii="Arial" w:hAnsi="Arial" w:cs="Arial"/>
          <w:sz w:val="22"/>
          <w:szCs w:val="22"/>
        </w:rPr>
        <w:t xml:space="preserve">the </w:t>
      </w:r>
      <w:r w:rsidRPr="00A943BB">
        <w:rPr>
          <w:rFonts w:ascii="Arial" w:hAnsi="Arial" w:cs="Arial"/>
          <w:sz w:val="22"/>
          <w:szCs w:val="22"/>
        </w:rPr>
        <w:t>quality of databases</w:t>
      </w:r>
      <w:r>
        <w:rPr>
          <w:rFonts w:ascii="Arial" w:hAnsi="Arial" w:cs="Arial"/>
          <w:sz w:val="22"/>
          <w:szCs w:val="22"/>
        </w:rPr>
        <w:t xml:space="preserve"> and surveillance systems</w:t>
      </w:r>
      <w:r w:rsidRPr="00A943BB">
        <w:rPr>
          <w:rFonts w:ascii="Arial" w:hAnsi="Arial" w:cs="Arial"/>
          <w:sz w:val="22"/>
          <w:szCs w:val="22"/>
        </w:rPr>
        <w:t>.</w:t>
      </w:r>
    </w:p>
    <w:p w14:paraId="7D12418A" w14:textId="1962C597" w:rsidR="00B951EE" w:rsidRPr="00A943BB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943BB">
        <w:rPr>
          <w:rFonts w:ascii="Arial" w:hAnsi="Arial" w:cs="Arial"/>
          <w:sz w:val="22"/>
          <w:szCs w:val="22"/>
        </w:rPr>
        <w:t>Prepare information for newsletters, publications</w:t>
      </w:r>
      <w:r>
        <w:rPr>
          <w:rFonts w:ascii="Arial" w:hAnsi="Arial" w:cs="Arial"/>
          <w:sz w:val="22"/>
          <w:szCs w:val="22"/>
        </w:rPr>
        <w:t>,</w:t>
      </w:r>
      <w:r w:rsidRPr="00A943BB">
        <w:rPr>
          <w:rFonts w:ascii="Arial" w:hAnsi="Arial" w:cs="Arial"/>
          <w:sz w:val="22"/>
          <w:szCs w:val="22"/>
        </w:rPr>
        <w:t xml:space="preserve"> and reports</w:t>
      </w:r>
      <w:r>
        <w:rPr>
          <w:rFonts w:ascii="Arial" w:hAnsi="Arial" w:cs="Arial"/>
          <w:sz w:val="22"/>
          <w:szCs w:val="22"/>
        </w:rPr>
        <w:t xml:space="preserve"> for various audiences; receive and respond to feedback and incorporate </w:t>
      </w:r>
      <w:r w:rsidR="00187B86">
        <w:rPr>
          <w:rFonts w:ascii="Arial" w:hAnsi="Arial" w:cs="Arial"/>
          <w:sz w:val="22"/>
          <w:szCs w:val="22"/>
        </w:rPr>
        <w:t xml:space="preserve">it </w:t>
      </w:r>
      <w:r>
        <w:rPr>
          <w:rFonts w:ascii="Arial" w:hAnsi="Arial" w:cs="Arial"/>
          <w:sz w:val="22"/>
          <w:szCs w:val="22"/>
        </w:rPr>
        <w:t>into products</w:t>
      </w:r>
      <w:r w:rsidRPr="00A943BB">
        <w:rPr>
          <w:rFonts w:ascii="Arial" w:hAnsi="Arial" w:cs="Arial"/>
          <w:sz w:val="22"/>
          <w:szCs w:val="22"/>
        </w:rPr>
        <w:t>.</w:t>
      </w:r>
    </w:p>
    <w:p w14:paraId="406941BF" w14:textId="57C51333" w:rsidR="00B951EE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943BB">
        <w:rPr>
          <w:rFonts w:ascii="Arial" w:hAnsi="Arial" w:cs="Arial"/>
          <w:sz w:val="22"/>
          <w:szCs w:val="22"/>
        </w:rPr>
        <w:t xml:space="preserve">Conduct disease </w:t>
      </w:r>
      <w:r w:rsidR="00A358AE">
        <w:rPr>
          <w:rFonts w:ascii="Arial" w:hAnsi="Arial" w:cs="Arial"/>
          <w:sz w:val="22"/>
          <w:szCs w:val="22"/>
        </w:rPr>
        <w:t xml:space="preserve">and other </w:t>
      </w:r>
      <w:r w:rsidRPr="00A943BB">
        <w:rPr>
          <w:rFonts w:ascii="Arial" w:hAnsi="Arial" w:cs="Arial"/>
          <w:sz w:val="22"/>
          <w:szCs w:val="22"/>
        </w:rPr>
        <w:t>surveillance activities.</w:t>
      </w:r>
    </w:p>
    <w:p w14:paraId="210C048B" w14:textId="77777777" w:rsidR="00B951EE" w:rsidRPr="00A943BB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outbreak investigations and response activities.</w:t>
      </w:r>
    </w:p>
    <w:p w14:paraId="65171F43" w14:textId="77777777" w:rsidR="00B951EE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943BB">
        <w:rPr>
          <w:rFonts w:ascii="Arial" w:hAnsi="Arial" w:cs="Arial"/>
          <w:sz w:val="22"/>
          <w:szCs w:val="22"/>
        </w:rPr>
        <w:t>Assist in interpreting epidemiological data for planning and policy development.</w:t>
      </w:r>
    </w:p>
    <w:p w14:paraId="43173437" w14:textId="099D6FE1" w:rsidR="00B951EE" w:rsidRDefault="00270F69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Perform data </w:t>
      </w:r>
      <w:r w:rsidR="00B951EE">
        <w:rPr>
          <w:rFonts w:ascii="Arial" w:hAnsi="Arial" w:cs="Arial"/>
          <w:sz w:val="22"/>
          <w:szCs w:val="22"/>
        </w:rPr>
        <w:t>management</w:t>
      </w:r>
      <w:r w:rsidR="00187B86">
        <w:rPr>
          <w:rFonts w:ascii="Arial" w:hAnsi="Arial" w:cs="Arial"/>
          <w:sz w:val="22"/>
          <w:szCs w:val="22"/>
        </w:rPr>
        <w:t>,</w:t>
      </w:r>
      <w:r w:rsidR="00B951EE">
        <w:rPr>
          <w:rFonts w:ascii="Arial" w:hAnsi="Arial" w:cs="Arial"/>
          <w:sz w:val="22"/>
          <w:szCs w:val="22"/>
        </w:rPr>
        <w:t xml:space="preserve"> includ</w:t>
      </w:r>
      <w:r>
        <w:rPr>
          <w:rFonts w:ascii="Arial" w:hAnsi="Arial" w:cs="Arial"/>
          <w:sz w:val="22"/>
          <w:szCs w:val="22"/>
        </w:rPr>
        <w:t>ing</w:t>
      </w:r>
      <w:r w:rsidR="00B951EE">
        <w:rPr>
          <w:rFonts w:ascii="Arial" w:hAnsi="Arial" w:cs="Arial"/>
          <w:sz w:val="22"/>
          <w:szCs w:val="22"/>
        </w:rPr>
        <w:t xml:space="preserve"> data extraction, cleaning, and transformation; perform data cleaning and processing tasks for individual datasets.</w:t>
      </w:r>
    </w:p>
    <w:p w14:paraId="6C3B0AE1" w14:textId="77777777" w:rsidR="00B951EE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interactive and static data visualizations for scientific and lay audiences.</w:t>
      </w:r>
    </w:p>
    <w:p w14:paraId="301D3EF8" w14:textId="77777777" w:rsidR="00B951EE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Write and maintain programming scripts for data management and analysis. </w:t>
      </w:r>
    </w:p>
    <w:p w14:paraId="6D0572DA" w14:textId="77777777" w:rsidR="00B951EE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continuing education and training to plan for, respond to, and recover from emergencies.</w:t>
      </w:r>
    </w:p>
    <w:p w14:paraId="05140F55" w14:textId="77777777" w:rsidR="00B951EE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epidemiological consultation or technical assistance to other units within the program as needed.</w:t>
      </w:r>
    </w:p>
    <w:p w14:paraId="45C0CE9A" w14:textId="24986487" w:rsidR="004367A2" w:rsidRPr="00B951EE" w:rsidRDefault="00B951EE" w:rsidP="00B951EE">
      <w:pPr>
        <w:pStyle w:val="numbertex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93EE798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epidemiological and biostatistical principles and methods</w:t>
      </w:r>
    </w:p>
    <w:p w14:paraId="2D47A4B6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basic epidemiological analysis and statistical testing</w:t>
      </w:r>
    </w:p>
    <w:p w14:paraId="3086A293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a medical or related scientific discipline</w:t>
      </w:r>
    </w:p>
    <w:p w14:paraId="3817ADAE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lastRenderedPageBreak/>
        <w:t>Knowledge of biological and laboratory sciences</w:t>
      </w:r>
    </w:p>
    <w:p w14:paraId="7F6EC29A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informatics standards and terminology</w:t>
      </w:r>
    </w:p>
    <w:p w14:paraId="572C7858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epidemic and outbreak characteristics</w:t>
      </w:r>
    </w:p>
    <w:p w14:paraId="60119F1C" w14:textId="54DD983E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Epidemiological knowledge of communicable diseases, chronic conditions</w:t>
      </w:r>
      <w:r w:rsidR="00187B86">
        <w:rPr>
          <w:rFonts w:ascii="Arial" w:hAnsi="Arial" w:cs="Arial"/>
          <w:sz w:val="22"/>
          <w:szCs w:val="22"/>
        </w:rPr>
        <w:t>,</w:t>
      </w:r>
      <w:r w:rsidRPr="00B951EE">
        <w:rPr>
          <w:rFonts w:ascii="Arial" w:hAnsi="Arial" w:cs="Arial"/>
          <w:sz w:val="22"/>
          <w:szCs w:val="22"/>
        </w:rPr>
        <w:t xml:space="preserve"> and other public health issues</w:t>
      </w:r>
    </w:p>
    <w:p w14:paraId="1F11D887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the demography and characteristics of populations</w:t>
      </w:r>
    </w:p>
    <w:p w14:paraId="0AAC8757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 xml:space="preserve">Knowledge of health equity principles </w:t>
      </w:r>
    </w:p>
    <w:p w14:paraId="17D0D559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medical and epidemiological terminology</w:t>
      </w:r>
    </w:p>
    <w:p w14:paraId="41956869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Knowledge of public health intervention techniques and principles</w:t>
      </w:r>
    </w:p>
    <w:p w14:paraId="6DF5C5C6" w14:textId="10AF8080" w:rsidR="00270F69" w:rsidRDefault="00270F69" w:rsidP="00B951E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presentation and oral and written communication</w:t>
      </w:r>
    </w:p>
    <w:p w14:paraId="3929D48A" w14:textId="37E882FC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Skill in translating medical information into a clear and concise form for non-technical audiences</w:t>
      </w:r>
    </w:p>
    <w:p w14:paraId="14CB768C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 xml:space="preserve">Skill in following research protocols to maintain data integrity  </w:t>
      </w:r>
    </w:p>
    <w:p w14:paraId="5C8F861D" w14:textId="77777777" w:rsidR="00B951EE" w:rsidRPr="00B951EE" w:rsidRDefault="00B951EE" w:rsidP="00B951EE">
      <w:pPr>
        <w:spacing w:after="120"/>
        <w:rPr>
          <w:rFonts w:ascii="Arial" w:hAnsi="Arial" w:cs="Arial"/>
          <w:sz w:val="22"/>
          <w:szCs w:val="22"/>
        </w:rPr>
      </w:pPr>
      <w:r w:rsidRPr="00B951EE">
        <w:rPr>
          <w:rFonts w:ascii="Arial" w:hAnsi="Arial" w:cs="Arial"/>
          <w:sz w:val="22"/>
          <w:szCs w:val="22"/>
        </w:rPr>
        <w:t>Ability to maintain confidentiality of information</w:t>
      </w:r>
    </w:p>
    <w:p w14:paraId="52D125B1" w14:textId="577A6116" w:rsidR="00D53051" w:rsidRPr="00D53051" w:rsidRDefault="00D53051" w:rsidP="00B951EE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470D067B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  <w:r w:rsidR="000F3E45">
        <w:rPr>
          <w:rFonts w:ascii="Arial" w:hAnsi="Arial" w:cs="Arial"/>
          <w:sz w:val="22"/>
          <w:szCs w:val="22"/>
        </w:rPr>
        <w:t>and GIS/Mapping systems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502AA3F6" w:rsidR="00005EC9" w:rsidRPr="00005EC9" w:rsidRDefault="000F3E45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</w:t>
      </w:r>
      <w:r w:rsidR="00005EC9" w:rsidRPr="00005EC9">
        <w:rPr>
          <w:rFonts w:ascii="Arial" w:hAnsi="Arial" w:cs="Arial"/>
          <w:sz w:val="22"/>
          <w:szCs w:val="22"/>
        </w:rPr>
        <w:t xml:space="preserve">combination of education and experience that clearly demonstrates the ability to perform the job duties of the position </w:t>
      </w:r>
    </w:p>
    <w:p w14:paraId="45C0CEA5" w14:textId="3C0150EB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187B86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45C0CEA6" w14:textId="0940AB2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EE0E7B1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C5534D" w:rsidRPr="00532BFA">
              <w:rPr>
                <w:rFonts w:ascii="Arial" w:hAnsi="Arial" w:cs="Arial"/>
              </w:rPr>
              <w:t>P</w:t>
            </w:r>
            <w:r w:rsidRPr="00532BFA">
              <w:rPr>
                <w:rFonts w:ascii="Arial" w:hAnsi="Arial" w:cs="Arial"/>
              </w:rPr>
              <w:t>rofess</w:t>
            </w:r>
            <w:r w:rsidR="00270A91" w:rsidRPr="00532BFA">
              <w:rPr>
                <w:rFonts w:ascii="Arial" w:hAnsi="Arial" w:cs="Arial"/>
              </w:rPr>
              <w:t>ional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27DDB9FD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78453D5F" w:rsidR="00DF607B" w:rsidRPr="00532BFA" w:rsidRDefault="00B951EE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05CD0DA9" w:rsidR="00DF607B" w:rsidRPr="003E7835" w:rsidRDefault="00B951EE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Epidemiologist I, II, and III</w:t>
            </w:r>
          </w:p>
        </w:tc>
      </w:tr>
      <w:tr w:rsidR="002D7EF3" w:rsidRPr="003E7835" w14:paraId="45C0CEB6" w14:textId="77777777" w:rsidTr="000F5502">
        <w:trPr>
          <w:trHeight w:val="288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0F5502">
            <w:pPr>
              <w:spacing w:before="12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090E3745" w:rsidR="002D7EF3" w:rsidRDefault="00B951EE" w:rsidP="000F5502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01/1997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  <w:tr w:rsidR="00B951EE" w:rsidRPr="003E7835" w14:paraId="583AFA0D" w14:textId="77777777" w:rsidTr="000F5502">
        <w:trPr>
          <w:trHeight w:val="288"/>
          <w:jc w:val="center"/>
        </w:trPr>
        <w:tc>
          <w:tcPr>
            <w:tcW w:w="3100" w:type="dxa"/>
            <w:vAlign w:val="center"/>
          </w:tcPr>
          <w:p w14:paraId="6EB25891" w14:textId="77777777" w:rsidR="00B951EE" w:rsidRPr="003E7835" w:rsidRDefault="00B951EE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4AFC9DB5" w14:textId="6525242D" w:rsidR="00B951EE" w:rsidRDefault="00B951EE" w:rsidP="00005EC9">
            <w:pPr>
              <w:pStyle w:val="text"/>
              <w:spacing w:after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02/20</w:t>
            </w:r>
            <w:r w:rsidR="001A18C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3 – Updated</w:t>
            </w:r>
          </w:p>
        </w:tc>
      </w:tr>
      <w:tr w:rsidR="00B951EE" w:rsidRPr="003E7835" w14:paraId="006E2C81" w14:textId="77777777" w:rsidTr="000F5502">
        <w:trPr>
          <w:trHeight w:val="288"/>
          <w:jc w:val="center"/>
        </w:trPr>
        <w:tc>
          <w:tcPr>
            <w:tcW w:w="3100" w:type="dxa"/>
            <w:vAlign w:val="center"/>
          </w:tcPr>
          <w:p w14:paraId="20AECAEA" w14:textId="77777777" w:rsidR="00B951EE" w:rsidRPr="003E7835" w:rsidRDefault="00B951EE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6CAB3DC9" w14:textId="668B4363" w:rsidR="00B951EE" w:rsidRDefault="00B951EE" w:rsidP="001A18C9">
            <w:pPr>
              <w:pStyle w:val="text"/>
              <w:spacing w:after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01/2008 – Changed font and format</w:t>
            </w:r>
          </w:p>
        </w:tc>
      </w:tr>
      <w:tr w:rsidR="00B951EE" w:rsidRPr="003E7835" w14:paraId="7EF58F80" w14:textId="77777777" w:rsidTr="000F5502">
        <w:trPr>
          <w:trHeight w:val="288"/>
          <w:jc w:val="center"/>
        </w:trPr>
        <w:tc>
          <w:tcPr>
            <w:tcW w:w="3100" w:type="dxa"/>
            <w:vAlign w:val="center"/>
          </w:tcPr>
          <w:p w14:paraId="437D67E9" w14:textId="77777777" w:rsidR="00B951EE" w:rsidRPr="003E7835" w:rsidRDefault="00B951EE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3D083567" w14:textId="427E8517" w:rsidR="00B951EE" w:rsidRDefault="007D3088" w:rsidP="001A18C9">
            <w:pPr>
              <w:pStyle w:val="text"/>
              <w:spacing w:after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05/2026</w:t>
            </w:r>
            <w:r w:rsidR="00B951EE">
              <w:rPr>
                <w:rFonts w:ascii="Arial" w:hAnsi="Arial" w:cs="Arial"/>
                <w:sz w:val="20"/>
              </w:rPr>
              <w:t xml:space="preserve"> – Updated content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7A128AB7" w:rsidR="00DB4EC4" w:rsidRDefault="00B951EE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Epidemiologist I</w:t>
    </w:r>
  </w:p>
  <w:p w14:paraId="45C0CEBE" w14:textId="7820BF5F" w:rsidR="00DB4EC4" w:rsidRDefault="007D3088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5/2026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4F8EE3AF" w:rsidR="00DB4EC4" w:rsidRPr="003E7835" w:rsidRDefault="00B951EE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7513100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54CC5116" w:rsidR="00DB4EC4" w:rsidRPr="003E7835" w:rsidRDefault="00B951EE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EPIDEMIOLOGIST I</w:t>
          </w:r>
        </w:p>
      </w:tc>
    </w:tr>
  </w:tbl>
  <w:p w14:paraId="45C0CEC9" w14:textId="0B9AA10E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84AD6"/>
    <w:multiLevelType w:val="singleLevel"/>
    <w:tmpl w:val="5426B8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030325567">
    <w:abstractNumId w:val="9"/>
  </w:num>
  <w:num w:numId="2" w16cid:durableId="701439699">
    <w:abstractNumId w:val="15"/>
  </w:num>
  <w:num w:numId="3" w16cid:durableId="995063229">
    <w:abstractNumId w:val="5"/>
  </w:num>
  <w:num w:numId="4" w16cid:durableId="1621183698">
    <w:abstractNumId w:val="2"/>
  </w:num>
  <w:num w:numId="5" w16cid:durableId="1240793881">
    <w:abstractNumId w:val="16"/>
  </w:num>
  <w:num w:numId="6" w16cid:durableId="1928465376">
    <w:abstractNumId w:val="1"/>
  </w:num>
  <w:num w:numId="7" w16cid:durableId="549263372">
    <w:abstractNumId w:val="12"/>
  </w:num>
  <w:num w:numId="8" w16cid:durableId="1888178245">
    <w:abstractNumId w:val="10"/>
  </w:num>
  <w:num w:numId="9" w16cid:durableId="80876712">
    <w:abstractNumId w:val="3"/>
  </w:num>
  <w:num w:numId="10" w16cid:durableId="1046753834">
    <w:abstractNumId w:val="11"/>
  </w:num>
  <w:num w:numId="11" w16cid:durableId="1568345375">
    <w:abstractNumId w:val="8"/>
  </w:num>
  <w:num w:numId="12" w16cid:durableId="470055826">
    <w:abstractNumId w:val="13"/>
  </w:num>
  <w:num w:numId="13" w16cid:durableId="1996566148">
    <w:abstractNumId w:val="7"/>
  </w:num>
  <w:num w:numId="14" w16cid:durableId="732047373">
    <w:abstractNumId w:val="4"/>
  </w:num>
  <w:num w:numId="15" w16cid:durableId="1143624202">
    <w:abstractNumId w:val="0"/>
  </w:num>
  <w:num w:numId="16" w16cid:durableId="2013071776">
    <w:abstractNumId w:val="6"/>
  </w:num>
  <w:num w:numId="17" w16cid:durableId="1899440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0F3E45"/>
    <w:rsid w:val="000F5502"/>
    <w:rsid w:val="0011050A"/>
    <w:rsid w:val="00130C46"/>
    <w:rsid w:val="00187B86"/>
    <w:rsid w:val="00191D10"/>
    <w:rsid w:val="001A18C9"/>
    <w:rsid w:val="001E3558"/>
    <w:rsid w:val="001E74D8"/>
    <w:rsid w:val="00210127"/>
    <w:rsid w:val="002151BB"/>
    <w:rsid w:val="002634BB"/>
    <w:rsid w:val="00270A91"/>
    <w:rsid w:val="00270F69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A7D6A"/>
    <w:rsid w:val="003E4DA6"/>
    <w:rsid w:val="003E7835"/>
    <w:rsid w:val="004367A2"/>
    <w:rsid w:val="004509AE"/>
    <w:rsid w:val="00474A34"/>
    <w:rsid w:val="00497183"/>
    <w:rsid w:val="00504BC4"/>
    <w:rsid w:val="005132BD"/>
    <w:rsid w:val="00523771"/>
    <w:rsid w:val="00532BFA"/>
    <w:rsid w:val="005444AD"/>
    <w:rsid w:val="00592F72"/>
    <w:rsid w:val="00593BDD"/>
    <w:rsid w:val="005E1959"/>
    <w:rsid w:val="005F1FD9"/>
    <w:rsid w:val="006046E5"/>
    <w:rsid w:val="00625458"/>
    <w:rsid w:val="00635F82"/>
    <w:rsid w:val="0066152D"/>
    <w:rsid w:val="007032DB"/>
    <w:rsid w:val="00772A3C"/>
    <w:rsid w:val="00790DFB"/>
    <w:rsid w:val="007B510D"/>
    <w:rsid w:val="007D3088"/>
    <w:rsid w:val="00840F12"/>
    <w:rsid w:val="008719D2"/>
    <w:rsid w:val="0090245D"/>
    <w:rsid w:val="00903661"/>
    <w:rsid w:val="009055D9"/>
    <w:rsid w:val="00906D00"/>
    <w:rsid w:val="00913639"/>
    <w:rsid w:val="00921357"/>
    <w:rsid w:val="0094351E"/>
    <w:rsid w:val="00985B72"/>
    <w:rsid w:val="00995D72"/>
    <w:rsid w:val="009E1A52"/>
    <w:rsid w:val="009F1611"/>
    <w:rsid w:val="00A001F2"/>
    <w:rsid w:val="00A358AE"/>
    <w:rsid w:val="00A55225"/>
    <w:rsid w:val="00AF7566"/>
    <w:rsid w:val="00B012C5"/>
    <w:rsid w:val="00B2381E"/>
    <w:rsid w:val="00B36D30"/>
    <w:rsid w:val="00B82BE4"/>
    <w:rsid w:val="00B951EE"/>
    <w:rsid w:val="00BB7AB0"/>
    <w:rsid w:val="00C35CCF"/>
    <w:rsid w:val="00C44A78"/>
    <w:rsid w:val="00C5534D"/>
    <w:rsid w:val="00CE11AD"/>
    <w:rsid w:val="00D53051"/>
    <w:rsid w:val="00D556E6"/>
    <w:rsid w:val="00D73622"/>
    <w:rsid w:val="00D7387C"/>
    <w:rsid w:val="00DB4EC4"/>
    <w:rsid w:val="00DB5076"/>
    <w:rsid w:val="00DB75FB"/>
    <w:rsid w:val="00DD4674"/>
    <w:rsid w:val="00DE4178"/>
    <w:rsid w:val="00DF1088"/>
    <w:rsid w:val="00DF607B"/>
    <w:rsid w:val="00E12A82"/>
    <w:rsid w:val="00E21CC6"/>
    <w:rsid w:val="00E31C08"/>
    <w:rsid w:val="00E4795B"/>
    <w:rsid w:val="00F04650"/>
    <w:rsid w:val="00F16A7C"/>
    <w:rsid w:val="00F34428"/>
    <w:rsid w:val="00F51B87"/>
    <w:rsid w:val="00F6576C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  <w14:docId w14:val="45C0CE94"/>
  <w15:docId w15:val="{2DFA4FF7-485F-4669-8D4A-4BF631F4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B95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d90cae5-04f9-4ad6-b687-7fa19d8f306c"/>
    <ds:schemaRef ds:uri="0def3715-83d5-4f03-9abc-0de0d34801bb"/>
  </ds:schemaRefs>
</ds:datastoreItem>
</file>

<file path=customXml/itemProps5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3716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Company>King County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Epidemiologist I Classification Specification Template</cp:keywords>
  <dc:description>7513100</dc:description>
  <cp:lastModifiedBy>Aswin, Andrea</cp:lastModifiedBy>
  <cp:revision>3</cp:revision>
  <cp:lastPrinted>2007-08-06T17:18:00Z</cp:lastPrinted>
  <dcterms:created xsi:type="dcterms:W3CDTF">2025-07-18T16:15:00Z</dcterms:created>
  <dcterms:modified xsi:type="dcterms:W3CDTF">2026-05-19T18:35:00Z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2d062db4-353b-4a18-bbf2-04a37785c36a</vt:lpwstr>
  </property>
</Properties>
</file>