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B9531FC" w14:textId="3459EF58" w:rsidR="004E0F0B" w:rsidRDefault="004E0F0B">
      <w:pPr>
        <w:spacing w:before="120" w:after="120"/>
        <w:rPr>
          <w:rFonts w:ascii="Arial" w:hAnsi="Arial" w:cs="Arial"/>
          <w:sz w:val="22"/>
          <w:szCs w:val="22"/>
        </w:rPr>
      </w:pPr>
      <w:r w:rsidRPr="004E0F0B">
        <w:rPr>
          <w:rFonts w:ascii="Arial" w:hAnsi="Arial" w:cs="Arial"/>
          <w:sz w:val="22"/>
          <w:szCs w:val="22"/>
        </w:rPr>
        <w:t xml:space="preserve">The Solutions Architect creates and develops highly technical Information Technology (IT) architectural designs which may include hardware, software, data, and communications technology spanning multiple platforms to support King County’s </w:t>
      </w:r>
      <w:r w:rsidR="00B250EB">
        <w:rPr>
          <w:rFonts w:ascii="Arial" w:hAnsi="Arial" w:cs="Arial"/>
          <w:sz w:val="22"/>
          <w:szCs w:val="22"/>
        </w:rPr>
        <w:t>long-term</w:t>
      </w:r>
      <w:r w:rsidRPr="004E0F0B">
        <w:rPr>
          <w:rFonts w:ascii="Arial" w:hAnsi="Arial" w:cs="Arial"/>
          <w:sz w:val="22"/>
          <w:szCs w:val="22"/>
        </w:rPr>
        <w:t xml:space="preserve"> business needs; integrates new and emerging technologies with standard practice; analyzes and translates business information and technical requirements into an architectural blueprint that outlines solutions which integrates across applications, systems, and platforms to achieve business objectives; and may be assigned to the application, business, data, infrastructure, network, security, or any emerging solutions architect specialty. </w:t>
      </w:r>
    </w:p>
    <w:p w14:paraId="45C0CE96" w14:textId="1D8DFFA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17591A1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F93E1B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84F91">
        <w:rPr>
          <w:rFonts w:ascii="Arial" w:hAnsi="Arial" w:cs="Arial"/>
          <w:sz w:val="22"/>
          <w:szCs w:val="22"/>
        </w:rPr>
        <w:t xml:space="preserve">This classification is distinguished from the Enterprise Architect classification in that </w:t>
      </w:r>
      <w:r w:rsidR="000F093F">
        <w:rPr>
          <w:rFonts w:ascii="Arial" w:hAnsi="Arial" w:cs="Arial"/>
          <w:sz w:val="22"/>
          <w:szCs w:val="22"/>
        </w:rPr>
        <w:t xml:space="preserve">the </w:t>
      </w:r>
      <w:r w:rsidR="00D84F91">
        <w:rPr>
          <w:rFonts w:ascii="Arial" w:hAnsi="Arial" w:cs="Arial"/>
          <w:sz w:val="22"/>
          <w:szCs w:val="22"/>
        </w:rPr>
        <w:t>incumbent</w:t>
      </w:r>
      <w:r w:rsidR="00BE700B">
        <w:rPr>
          <w:rFonts w:ascii="Arial" w:hAnsi="Arial" w:cs="Arial"/>
          <w:sz w:val="22"/>
          <w:szCs w:val="22"/>
        </w:rPr>
        <w:t xml:space="preserve"> </w:t>
      </w:r>
      <w:r w:rsidR="00D84F91">
        <w:rPr>
          <w:rFonts w:ascii="Arial" w:hAnsi="Arial" w:cs="Arial"/>
          <w:sz w:val="22"/>
          <w:szCs w:val="22"/>
        </w:rPr>
        <w:t xml:space="preserve">in the Enterprise Architect </w:t>
      </w:r>
      <w:r w:rsidR="000F093F">
        <w:rPr>
          <w:rFonts w:ascii="Arial" w:hAnsi="Arial" w:cs="Arial"/>
          <w:sz w:val="22"/>
          <w:szCs w:val="22"/>
        </w:rPr>
        <w:t>is</w:t>
      </w:r>
      <w:r w:rsidR="00D84F91">
        <w:rPr>
          <w:rFonts w:ascii="Arial" w:hAnsi="Arial" w:cs="Arial"/>
          <w:sz w:val="22"/>
          <w:szCs w:val="22"/>
        </w:rPr>
        <w:t xml:space="preserve"> responsible </w:t>
      </w:r>
      <w:r w:rsidR="00DB691C">
        <w:rPr>
          <w:rFonts w:ascii="Arial" w:hAnsi="Arial" w:cs="Arial"/>
          <w:sz w:val="22"/>
          <w:szCs w:val="22"/>
        </w:rPr>
        <w:t xml:space="preserve">for </w:t>
      </w:r>
      <w:bookmarkStart w:id="0" w:name="_Hlk147396875"/>
      <w:r w:rsidR="00073E2D" w:rsidRPr="00073E2D">
        <w:rPr>
          <w:rFonts w:ascii="Arial" w:hAnsi="Arial" w:cs="Arial"/>
          <w:sz w:val="22"/>
          <w:szCs w:val="22"/>
        </w:rPr>
        <w:t>establishing and maintaining alignment among the enterprise data architecture, the strategic IT plan, strategic priorities, application and integration systems analysis and design, and the enterprise technology architecture.</w:t>
      </w:r>
      <w:bookmarkEnd w:id="0"/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E306D92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Collaborate with peer architects, service owners, and other technical staff in determining the optimum design for vendor and in-house developed application solutions; translating business requirements into long-term information/data architecture design and solutions; and/or translating business requirements into technical designs, reference architectures, and solution patterns.  </w:t>
      </w:r>
    </w:p>
    <w:p w14:paraId="62E84F4E" w14:textId="35CFB363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Designs the implementation of solution architecture based on </w:t>
      </w:r>
      <w:r w:rsidR="00D84F91">
        <w:rPr>
          <w:rFonts w:ascii="Arial" w:hAnsi="Arial" w:cs="Arial"/>
          <w:sz w:val="22"/>
          <w:szCs w:val="22"/>
        </w:rPr>
        <w:t xml:space="preserve">the </w:t>
      </w:r>
      <w:r w:rsidRPr="00F93E1B">
        <w:rPr>
          <w:rFonts w:ascii="Arial" w:hAnsi="Arial" w:cs="Arial"/>
          <w:sz w:val="22"/>
          <w:szCs w:val="22"/>
        </w:rPr>
        <w:t>organization's business requirements and IT strategies; defines models, including solution patterns for repeatable and reusable ways, to guide solution decisions.</w:t>
      </w:r>
    </w:p>
    <w:p w14:paraId="0537584E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Create and manage architectural strategies and roadmaps across multiple projects, functional teams, platforms, and/or technology systems to support the enterprise architecture; ensure structure and activities </w:t>
      </w:r>
      <w:proofErr w:type="gramStart"/>
      <w:r w:rsidRPr="00F93E1B">
        <w:rPr>
          <w:rFonts w:ascii="Arial" w:hAnsi="Arial" w:cs="Arial"/>
          <w:sz w:val="22"/>
          <w:szCs w:val="22"/>
        </w:rPr>
        <w:t>are in compliance with</w:t>
      </w:r>
      <w:proofErr w:type="gramEnd"/>
      <w:r w:rsidRPr="00F93E1B">
        <w:rPr>
          <w:rFonts w:ascii="Arial" w:hAnsi="Arial" w:cs="Arial"/>
          <w:sz w:val="22"/>
          <w:szCs w:val="22"/>
        </w:rPr>
        <w:t xml:space="preserve"> the enterprise architecture.</w:t>
      </w:r>
    </w:p>
    <w:p w14:paraId="37434A34" w14:textId="33917878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Serve as a project resource and/or technical expert on data design, application, and integration technologies, and/or technical design for complex, </w:t>
      </w:r>
      <w:r w:rsidR="00D84F91">
        <w:rPr>
          <w:rFonts w:ascii="Arial" w:hAnsi="Arial" w:cs="Arial"/>
          <w:sz w:val="22"/>
          <w:szCs w:val="22"/>
        </w:rPr>
        <w:t>high-impact</w:t>
      </w:r>
      <w:r w:rsidRPr="00F93E1B">
        <w:rPr>
          <w:rFonts w:ascii="Arial" w:hAnsi="Arial" w:cs="Arial"/>
          <w:sz w:val="22"/>
          <w:szCs w:val="22"/>
        </w:rPr>
        <w:t xml:space="preserve"> projects.</w:t>
      </w:r>
    </w:p>
    <w:p w14:paraId="2B828AA1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Participate in enterprise architecture design processes to define major components of the County’s application, data, and/or technology architecture.  </w:t>
      </w:r>
    </w:p>
    <w:p w14:paraId="4A0CFEE1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>Consult with internal and/or external customers, stakeholders, and IT staff to help match reference architectures to business and technical requirements.</w:t>
      </w:r>
    </w:p>
    <w:p w14:paraId="6F9AE703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>Participate on teams developing standards, best practices, solution patterns, reference architecture, and policies and procedures.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49D3FC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760296D7" w14:textId="42E80FBF" w:rsidR="00005EC9" w:rsidRPr="00005EC9" w:rsidRDefault="00F93E1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and  experience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6B13D0F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DB691C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72450EE3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DB691C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1B80139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DB691C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35DB280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C95AFF0" w:rsidR="00DF607B" w:rsidRPr="00532BFA" w:rsidRDefault="00DB691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B8FB69F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723B250" w:rsidR="002D7EF3" w:rsidRDefault="00B250E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B250EB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483A0BA" w:rsidR="00DB4EC4" w:rsidRDefault="00B250E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Solutions Architect</w:t>
    </w:r>
  </w:p>
  <w:p w14:paraId="45C0CEBE" w14:textId="0F292517" w:rsidR="00DB4EC4" w:rsidRDefault="00B250E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B250E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BA7E668" w:rsidR="00DB4EC4" w:rsidRPr="00B250EB" w:rsidRDefault="00B250E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250EB">
            <w:rPr>
              <w:rFonts w:ascii="Arial" w:hAnsi="Arial" w:cs="Arial"/>
              <w:b/>
              <w:sz w:val="24"/>
              <w:szCs w:val="24"/>
            </w:rPr>
            <w:t>7309300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99E3290" w:rsidR="00DB4EC4" w:rsidRPr="003E7835" w:rsidRDefault="00F93E1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SOLUTION</w:t>
          </w:r>
          <w:r w:rsidR="00D84F91">
            <w:rPr>
              <w:rFonts w:ascii="Arial" w:hAnsi="Arial" w:cs="Arial"/>
              <w:b/>
              <w:bCs/>
              <w:sz w:val="28"/>
              <w:szCs w:val="28"/>
            </w:rPr>
            <w:t>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ARCHITECT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78931697">
    <w:abstractNumId w:val="9"/>
  </w:num>
  <w:num w:numId="2" w16cid:durableId="683361539">
    <w:abstractNumId w:val="14"/>
  </w:num>
  <w:num w:numId="3" w16cid:durableId="1858809526">
    <w:abstractNumId w:val="5"/>
  </w:num>
  <w:num w:numId="4" w16cid:durableId="347685323">
    <w:abstractNumId w:val="2"/>
  </w:num>
  <w:num w:numId="5" w16cid:durableId="307175403">
    <w:abstractNumId w:val="15"/>
  </w:num>
  <w:num w:numId="6" w16cid:durableId="144200251">
    <w:abstractNumId w:val="1"/>
  </w:num>
  <w:num w:numId="7" w16cid:durableId="162016672">
    <w:abstractNumId w:val="12"/>
  </w:num>
  <w:num w:numId="8" w16cid:durableId="235554618">
    <w:abstractNumId w:val="10"/>
  </w:num>
  <w:num w:numId="9" w16cid:durableId="1235356850">
    <w:abstractNumId w:val="3"/>
  </w:num>
  <w:num w:numId="10" w16cid:durableId="1504122824">
    <w:abstractNumId w:val="11"/>
  </w:num>
  <w:num w:numId="11" w16cid:durableId="1306200490">
    <w:abstractNumId w:val="8"/>
  </w:num>
  <w:num w:numId="12" w16cid:durableId="376779379">
    <w:abstractNumId w:val="13"/>
  </w:num>
  <w:num w:numId="13" w16cid:durableId="282882061">
    <w:abstractNumId w:val="7"/>
  </w:num>
  <w:num w:numId="14" w16cid:durableId="1845318280">
    <w:abstractNumId w:val="4"/>
  </w:num>
  <w:num w:numId="15" w16cid:durableId="195195471">
    <w:abstractNumId w:val="0"/>
  </w:num>
  <w:num w:numId="16" w16cid:durableId="1291478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563FB"/>
    <w:rsid w:val="00073E2D"/>
    <w:rsid w:val="0009471F"/>
    <w:rsid w:val="000A3314"/>
    <w:rsid w:val="000B56AC"/>
    <w:rsid w:val="000D17D8"/>
    <w:rsid w:val="000F093F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4B1077"/>
    <w:rsid w:val="004E0F0B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9F1C2A"/>
    <w:rsid w:val="00A001F2"/>
    <w:rsid w:val="00A55225"/>
    <w:rsid w:val="00AF7566"/>
    <w:rsid w:val="00B012C5"/>
    <w:rsid w:val="00B2381E"/>
    <w:rsid w:val="00B250EB"/>
    <w:rsid w:val="00B36D30"/>
    <w:rsid w:val="00BB7AB0"/>
    <w:rsid w:val="00BE700B"/>
    <w:rsid w:val="00C35CCF"/>
    <w:rsid w:val="00C44A78"/>
    <w:rsid w:val="00C473D1"/>
    <w:rsid w:val="00C5534D"/>
    <w:rsid w:val="00CE11AD"/>
    <w:rsid w:val="00D17BDF"/>
    <w:rsid w:val="00D53051"/>
    <w:rsid w:val="00D73622"/>
    <w:rsid w:val="00D84F91"/>
    <w:rsid w:val="00DB4EC4"/>
    <w:rsid w:val="00DB5076"/>
    <w:rsid w:val="00DB691C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93E1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MAQEFJTUDN2N-1944884878-1325</_dlc_DocId>
    <_dlc_DocIdUrl xmlns="dd90cae5-04f9-4ad6-b687-7fa19d8f306c">
      <Url>https://kc1.sharepoint.com/teams/DESa/CC/compensation/_layouts/15/DocIdRedir.aspx?ID=MAQEFJTUDN2N-1944884878-1325</Url>
      <Description>MAQEFJTUDN2N-1944884878-1325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7309300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https://kc1.sharepoint.com/teams/DESa/CC/compensation/_layouts/15/wrkstat.aspx?List=16bd73ee-b5fc-4313-9283-26a4fcd441b4&amp;WorkflowInstanceName=f199881b-6fc4-4871-adf1-b12e8ea4459b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CB3B63-1D1F-40E9-A848-0991F11EC5AF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3036</Characters>
  <Application>Microsoft Office Word</Application>
  <DocSecurity>2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SOLUTIONS ARCHITECT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2023-10-05T18:10:00Z</dcterms:created>
  <dcterms:modified xsi:type="dcterms:W3CDTF">2024-01-03T20:12:00Z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0d3eda1c-daa0-4cec-b455-29719ce5d2b9</vt:lpwstr>
  </property>
  <property fmtid="{D5CDD505-2E9C-101B-9397-08002B2CF9AE}" pid="5" name="GrammarlyDocumentId">
    <vt:lpwstr>703ef1b328e071441414e5e7ed5ab3b24c6c8e421d4e1158371be1a6e51e2c9f</vt:lpwstr>
  </property>
</Properties>
</file>