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0CE94" w14:textId="77777777" w:rsidR="00DF607B" w:rsidRPr="00625458" w:rsidRDefault="00DF607B">
      <w:pPr>
        <w:spacing w:before="120" w:after="120"/>
        <w:rPr>
          <w:rFonts w:ascii="Arial" w:hAnsi="Arial" w:cs="Arial"/>
          <w:b/>
          <w:sz w:val="26"/>
        </w:rPr>
      </w:pPr>
      <w:r w:rsidRPr="00625458">
        <w:rPr>
          <w:rFonts w:ascii="Arial" w:hAnsi="Arial" w:cs="Arial"/>
          <w:b/>
          <w:sz w:val="26"/>
        </w:rPr>
        <w:t>Class Summary</w:t>
      </w:r>
    </w:p>
    <w:p w14:paraId="4F7D1513" w14:textId="77777777" w:rsidR="002A68EB" w:rsidRPr="002A68EB" w:rsidRDefault="002A68EB" w:rsidP="002A68EB">
      <w:pPr>
        <w:spacing w:before="120" w:after="120"/>
        <w:rPr>
          <w:rFonts w:ascii="Arial" w:hAnsi="Arial" w:cs="Arial"/>
          <w:sz w:val="22"/>
          <w:szCs w:val="22"/>
        </w:rPr>
      </w:pPr>
      <w:r w:rsidRPr="002A68EB">
        <w:rPr>
          <w:rFonts w:ascii="Arial" w:hAnsi="Arial" w:cs="Arial"/>
          <w:sz w:val="22"/>
          <w:szCs w:val="22"/>
        </w:rPr>
        <w:t>The responsibilities of this classification include providing executive leadership and strategic direction across complex, multi-disciplinary programs and operations to advance organizational effectiveness, equity, sustainability, and data-informed decision-making. Incumbents oversee large and diverse teams responsible for operational service delivery, capital project management, contracting, technology, emergency management, and community partnerships. This classification ensures County programs and services are safe, sustainable, and aligned with King County’s long-range strategic and capital plans. The role promotes organizational performance, operational excellence, and equitable outcomes through innovation, cross-departmental collaboration, and accountability to measurable results. Incumbents represent their departments in countywide committees and external partnerships, providing expert recommendations to senior leadership, elected officials, and governing bodies.</w:t>
      </w:r>
      <w:r w:rsidRPr="002A68EB">
        <w:rPr>
          <w:rFonts w:ascii="Arial" w:hAnsi="Arial" w:cs="Arial"/>
          <w:sz w:val="22"/>
          <w:szCs w:val="22"/>
        </w:rPr>
        <w:br/>
      </w:r>
      <w:r w:rsidRPr="002A68EB">
        <w:rPr>
          <w:rFonts w:ascii="Arial" w:hAnsi="Arial" w:cs="Arial"/>
          <w:sz w:val="22"/>
          <w:szCs w:val="22"/>
        </w:rPr>
        <w:br/>
        <w:t>Note: The Department of Human Resources (DHR) Director or designee must review and approve the body of work to be performed before an applicant can be hired into this classification.</w:t>
      </w:r>
    </w:p>
    <w:p w14:paraId="45C0CE96" w14:textId="77777777" w:rsidR="00DF607B" w:rsidRPr="00D02F5B" w:rsidRDefault="00DF607B">
      <w:pPr>
        <w:spacing w:before="120" w:after="120"/>
        <w:rPr>
          <w:rFonts w:ascii="Arial" w:hAnsi="Arial" w:cs="Arial"/>
          <w:b/>
          <w:sz w:val="26"/>
        </w:rPr>
      </w:pPr>
      <w:r w:rsidRPr="00D02F5B">
        <w:rPr>
          <w:rFonts w:ascii="Arial" w:hAnsi="Arial" w:cs="Arial"/>
          <w:b/>
          <w:sz w:val="26"/>
        </w:rPr>
        <w:t>Distinguishing Characteristics</w:t>
      </w:r>
    </w:p>
    <w:p w14:paraId="734A074E" w14:textId="77777777" w:rsidR="002A68EB" w:rsidRPr="002A68EB" w:rsidRDefault="002A68EB" w:rsidP="002A68EB">
      <w:pPr>
        <w:spacing w:before="120" w:after="120"/>
        <w:rPr>
          <w:rFonts w:ascii="Arial" w:hAnsi="Arial" w:cs="Arial"/>
          <w:sz w:val="22"/>
          <w:szCs w:val="22"/>
        </w:rPr>
      </w:pPr>
      <w:r w:rsidRPr="002A68EB">
        <w:rPr>
          <w:rFonts w:ascii="Arial" w:hAnsi="Arial" w:cs="Arial"/>
          <w:sz w:val="22"/>
          <w:szCs w:val="22"/>
        </w:rPr>
        <w:t xml:space="preserve">This is a single-level classification that provides executive-level management over large, complex, and multi-functional programs. It is distinguished from the Chief Operating Officer in that incumbents within the COO classification manage day-to-day operational performance and financial planning across all departmental functions. </w:t>
      </w:r>
    </w:p>
    <w:p w14:paraId="7A0734B7" w14:textId="77777777" w:rsidR="002A68EB" w:rsidRPr="002A68EB" w:rsidRDefault="002A68EB" w:rsidP="002A68EB">
      <w:pPr>
        <w:spacing w:before="120" w:after="120"/>
        <w:rPr>
          <w:rFonts w:ascii="Arial" w:hAnsi="Arial" w:cs="Arial"/>
          <w:sz w:val="22"/>
          <w:szCs w:val="22"/>
        </w:rPr>
      </w:pPr>
      <w:r w:rsidRPr="002A68EB">
        <w:rPr>
          <w:rFonts w:ascii="Arial" w:hAnsi="Arial" w:cs="Arial"/>
          <w:sz w:val="22"/>
          <w:szCs w:val="22"/>
        </w:rPr>
        <w:t>It is distinguished from the Strategic Planning Manager II in that incumbents within that class focus primarily on strategic planning and performance management within a single agency or business area, whereas the Strategic Programs Manager provides executive oversight across multiple functional and service areas, integrating operational, capital, and strategic objectives.</w:t>
      </w:r>
    </w:p>
    <w:p w14:paraId="45C0CE98" w14:textId="77777777" w:rsidR="00DF607B" w:rsidRPr="00D02F5B" w:rsidRDefault="00DF607B">
      <w:pPr>
        <w:spacing w:before="120" w:after="120"/>
        <w:rPr>
          <w:rFonts w:ascii="Arial" w:hAnsi="Arial" w:cs="Arial"/>
          <w:b/>
          <w:sz w:val="26"/>
        </w:rPr>
      </w:pPr>
      <w:r w:rsidRPr="00D02F5B">
        <w:rPr>
          <w:rFonts w:ascii="Arial" w:hAnsi="Arial" w:cs="Arial"/>
          <w:b/>
          <w:sz w:val="26"/>
        </w:rPr>
        <w:t>Examples of Duties</w:t>
      </w:r>
    </w:p>
    <w:p w14:paraId="6ECBED8E" w14:textId="77777777" w:rsidR="002A68EB" w:rsidRPr="002A68EB" w:rsidRDefault="002A68EB" w:rsidP="002A68EB">
      <w:pPr>
        <w:numPr>
          <w:ilvl w:val="0"/>
          <w:numId w:val="9"/>
        </w:numPr>
        <w:spacing w:after="120"/>
        <w:rPr>
          <w:rFonts w:ascii="Arial" w:hAnsi="Arial" w:cs="Arial"/>
          <w:sz w:val="22"/>
          <w:szCs w:val="22"/>
        </w:rPr>
      </w:pPr>
      <w:r w:rsidRPr="002A68EB">
        <w:rPr>
          <w:rFonts w:ascii="Arial" w:hAnsi="Arial" w:cs="Arial"/>
          <w:sz w:val="22"/>
          <w:szCs w:val="22"/>
        </w:rPr>
        <w:t>Provide executive leadership and direction for large, complex, and multi-disciplinary programs and operations to achieve organizational goals and ensure alignment with County priorities.</w:t>
      </w:r>
    </w:p>
    <w:p w14:paraId="20656270" w14:textId="77777777" w:rsidR="002A68EB" w:rsidRPr="002A68EB" w:rsidRDefault="002A68EB" w:rsidP="002A68EB">
      <w:pPr>
        <w:numPr>
          <w:ilvl w:val="0"/>
          <w:numId w:val="9"/>
        </w:numPr>
        <w:spacing w:after="120"/>
        <w:rPr>
          <w:rFonts w:ascii="Arial" w:hAnsi="Arial" w:cs="Arial"/>
          <w:sz w:val="22"/>
          <w:szCs w:val="22"/>
        </w:rPr>
      </w:pPr>
      <w:r w:rsidRPr="002A68EB">
        <w:rPr>
          <w:rFonts w:ascii="Arial" w:hAnsi="Arial" w:cs="Arial"/>
          <w:sz w:val="22"/>
          <w:szCs w:val="22"/>
        </w:rPr>
        <w:t>Direct and integrate diverse service lines, including program operations, engineering, capital delivery, technology, emergency management, compliance, and customer service.</w:t>
      </w:r>
    </w:p>
    <w:p w14:paraId="6C7E3448" w14:textId="77777777" w:rsidR="002A68EB" w:rsidRPr="002A68EB" w:rsidRDefault="002A68EB" w:rsidP="002A68EB">
      <w:pPr>
        <w:numPr>
          <w:ilvl w:val="0"/>
          <w:numId w:val="9"/>
        </w:numPr>
        <w:spacing w:after="120"/>
        <w:rPr>
          <w:rFonts w:ascii="Arial" w:hAnsi="Arial" w:cs="Arial"/>
          <w:sz w:val="22"/>
          <w:szCs w:val="22"/>
        </w:rPr>
      </w:pPr>
      <w:r w:rsidRPr="002A68EB">
        <w:rPr>
          <w:rFonts w:ascii="Arial" w:hAnsi="Arial" w:cs="Arial"/>
          <w:sz w:val="22"/>
          <w:szCs w:val="22"/>
        </w:rPr>
        <w:t>Develop and implement strategic and operational goals that ensure programs and infrastructure are safe, sustainable, and aligned with County objectives and long-range plans.</w:t>
      </w:r>
    </w:p>
    <w:p w14:paraId="40A8A6F1" w14:textId="77777777" w:rsidR="002A68EB" w:rsidRPr="002A68EB" w:rsidRDefault="002A68EB" w:rsidP="002A68EB">
      <w:pPr>
        <w:numPr>
          <w:ilvl w:val="0"/>
          <w:numId w:val="9"/>
        </w:numPr>
        <w:spacing w:after="120"/>
        <w:rPr>
          <w:rFonts w:ascii="Arial" w:hAnsi="Arial" w:cs="Arial"/>
          <w:sz w:val="22"/>
          <w:szCs w:val="22"/>
        </w:rPr>
      </w:pPr>
      <w:r w:rsidRPr="002A68EB">
        <w:rPr>
          <w:rFonts w:ascii="Arial" w:hAnsi="Arial" w:cs="Arial"/>
          <w:sz w:val="22"/>
          <w:szCs w:val="22"/>
        </w:rPr>
        <w:t>Establish and implement policies, procedures, and standards to enhance efficiency, accountability, sustainability, and equity across all program areas.</w:t>
      </w:r>
    </w:p>
    <w:p w14:paraId="21193DE6" w14:textId="77777777" w:rsidR="002A68EB" w:rsidRPr="002A68EB" w:rsidRDefault="002A68EB" w:rsidP="002A68EB">
      <w:pPr>
        <w:numPr>
          <w:ilvl w:val="0"/>
          <w:numId w:val="9"/>
        </w:numPr>
        <w:spacing w:after="120"/>
        <w:rPr>
          <w:rFonts w:ascii="Arial" w:hAnsi="Arial" w:cs="Arial"/>
          <w:sz w:val="22"/>
          <w:szCs w:val="22"/>
        </w:rPr>
      </w:pPr>
      <w:r w:rsidRPr="002A68EB">
        <w:rPr>
          <w:rFonts w:ascii="Arial" w:hAnsi="Arial" w:cs="Arial"/>
          <w:sz w:val="22"/>
          <w:szCs w:val="22"/>
        </w:rPr>
        <w:t>Partner with executive leadership, elected officials, and department directors to align investments, operations, and workforce strategies with countywide priorities.</w:t>
      </w:r>
    </w:p>
    <w:p w14:paraId="60686BEE" w14:textId="77777777" w:rsidR="002A68EB" w:rsidRPr="002A68EB" w:rsidRDefault="002A68EB" w:rsidP="002A68EB">
      <w:pPr>
        <w:numPr>
          <w:ilvl w:val="0"/>
          <w:numId w:val="9"/>
        </w:numPr>
        <w:spacing w:after="120"/>
        <w:rPr>
          <w:rFonts w:ascii="Arial" w:hAnsi="Arial" w:cs="Arial"/>
          <w:sz w:val="22"/>
          <w:szCs w:val="22"/>
        </w:rPr>
      </w:pPr>
      <w:r w:rsidRPr="002A68EB">
        <w:rPr>
          <w:rFonts w:ascii="Arial" w:hAnsi="Arial" w:cs="Arial"/>
          <w:sz w:val="22"/>
          <w:szCs w:val="22"/>
        </w:rPr>
        <w:t>Lead long-range planning to integrate operations, maintenance, and capital strategies for effective lifecycle stewardship of public resources.</w:t>
      </w:r>
    </w:p>
    <w:p w14:paraId="21017F53" w14:textId="77777777" w:rsidR="002A68EB" w:rsidRPr="002A68EB" w:rsidRDefault="002A68EB" w:rsidP="002A68EB">
      <w:pPr>
        <w:numPr>
          <w:ilvl w:val="0"/>
          <w:numId w:val="9"/>
        </w:numPr>
        <w:spacing w:after="120"/>
        <w:rPr>
          <w:rFonts w:ascii="Arial" w:hAnsi="Arial" w:cs="Arial"/>
          <w:sz w:val="22"/>
          <w:szCs w:val="22"/>
        </w:rPr>
      </w:pPr>
      <w:r w:rsidRPr="002A68EB">
        <w:rPr>
          <w:rFonts w:ascii="Arial" w:hAnsi="Arial" w:cs="Arial"/>
          <w:sz w:val="22"/>
          <w:szCs w:val="22"/>
        </w:rPr>
        <w:t>Represent the department in high-level policy discussions, budget deliberations, and interdepartmental coordination; provide expert recommendations to senior leadership and governing bodies.</w:t>
      </w:r>
    </w:p>
    <w:p w14:paraId="517E6247" w14:textId="77777777" w:rsidR="002A68EB" w:rsidRPr="002A68EB" w:rsidRDefault="002A68EB" w:rsidP="002A68EB">
      <w:pPr>
        <w:numPr>
          <w:ilvl w:val="0"/>
          <w:numId w:val="9"/>
        </w:numPr>
        <w:spacing w:after="120"/>
        <w:rPr>
          <w:rFonts w:ascii="Arial" w:hAnsi="Arial" w:cs="Arial"/>
          <w:sz w:val="22"/>
          <w:szCs w:val="22"/>
        </w:rPr>
      </w:pPr>
      <w:r w:rsidRPr="002A68EB">
        <w:rPr>
          <w:rFonts w:ascii="Arial" w:hAnsi="Arial" w:cs="Arial"/>
          <w:sz w:val="22"/>
          <w:szCs w:val="22"/>
        </w:rPr>
        <w:lastRenderedPageBreak/>
        <w:t>Oversee and ensure compliance with applicable laws, regulations, and internal standards related to safety, performance management, and equity.</w:t>
      </w:r>
    </w:p>
    <w:p w14:paraId="788D1070" w14:textId="77777777" w:rsidR="002A68EB" w:rsidRPr="002A68EB" w:rsidRDefault="002A68EB" w:rsidP="002A68EB">
      <w:pPr>
        <w:numPr>
          <w:ilvl w:val="0"/>
          <w:numId w:val="9"/>
        </w:numPr>
        <w:spacing w:after="120"/>
        <w:rPr>
          <w:rFonts w:ascii="Arial" w:hAnsi="Arial" w:cs="Arial"/>
          <w:sz w:val="22"/>
          <w:szCs w:val="22"/>
        </w:rPr>
      </w:pPr>
      <w:r w:rsidRPr="002A68EB">
        <w:rPr>
          <w:rFonts w:ascii="Arial" w:hAnsi="Arial" w:cs="Arial"/>
          <w:sz w:val="22"/>
          <w:szCs w:val="22"/>
        </w:rPr>
        <w:t>Provide strategic oversight of 24/7 operational programs, ensuring reliability, safety, and compliance with all codes, regulations, and service standards.</w:t>
      </w:r>
    </w:p>
    <w:p w14:paraId="56BC7FF0" w14:textId="77777777" w:rsidR="002A68EB" w:rsidRPr="002A68EB" w:rsidRDefault="002A68EB" w:rsidP="002A68EB">
      <w:pPr>
        <w:numPr>
          <w:ilvl w:val="0"/>
          <w:numId w:val="9"/>
        </w:numPr>
        <w:spacing w:after="120"/>
        <w:rPr>
          <w:rFonts w:ascii="Arial" w:hAnsi="Arial" w:cs="Arial"/>
          <w:sz w:val="22"/>
          <w:szCs w:val="22"/>
        </w:rPr>
      </w:pPr>
      <w:r w:rsidRPr="002A68EB">
        <w:rPr>
          <w:rFonts w:ascii="Arial" w:hAnsi="Arial" w:cs="Arial"/>
          <w:sz w:val="22"/>
          <w:szCs w:val="22"/>
        </w:rPr>
        <w:t>Champion the use of data-driven management systems, analytics, and performance metrics to monitor service delivery and optimize resource utilization.</w:t>
      </w:r>
    </w:p>
    <w:p w14:paraId="1884FFB8" w14:textId="77777777" w:rsidR="002A68EB" w:rsidRPr="002A68EB" w:rsidRDefault="002A68EB" w:rsidP="002A68EB">
      <w:pPr>
        <w:numPr>
          <w:ilvl w:val="0"/>
          <w:numId w:val="9"/>
        </w:numPr>
        <w:spacing w:after="120"/>
        <w:rPr>
          <w:rFonts w:ascii="Arial" w:hAnsi="Arial" w:cs="Arial"/>
          <w:sz w:val="22"/>
          <w:szCs w:val="22"/>
        </w:rPr>
      </w:pPr>
      <w:r w:rsidRPr="002A68EB">
        <w:rPr>
          <w:rFonts w:ascii="Arial" w:hAnsi="Arial" w:cs="Arial"/>
          <w:sz w:val="22"/>
          <w:szCs w:val="22"/>
        </w:rPr>
        <w:t>Build and maintain collaborative relationships with internal clients, external partners, and community stakeholders to support equitable and effective program delivery.</w:t>
      </w:r>
    </w:p>
    <w:p w14:paraId="4152EE0A" w14:textId="77777777" w:rsidR="002A68EB" w:rsidRPr="002A68EB" w:rsidRDefault="002A68EB" w:rsidP="002A68EB">
      <w:pPr>
        <w:numPr>
          <w:ilvl w:val="0"/>
          <w:numId w:val="9"/>
        </w:numPr>
        <w:spacing w:after="120"/>
        <w:rPr>
          <w:rFonts w:ascii="Arial" w:hAnsi="Arial" w:cs="Arial"/>
          <w:sz w:val="22"/>
          <w:szCs w:val="22"/>
        </w:rPr>
      </w:pPr>
      <w:r w:rsidRPr="002A68EB">
        <w:rPr>
          <w:rFonts w:ascii="Arial" w:hAnsi="Arial" w:cs="Arial"/>
          <w:sz w:val="22"/>
          <w:szCs w:val="22"/>
        </w:rPr>
        <w:t>Promote innovation in service delivery, sustainability, workforce development, and technology adoption to advance operational excellence and continuous improvement.</w:t>
      </w:r>
    </w:p>
    <w:p w14:paraId="778AF36C" w14:textId="77777777" w:rsidR="002A68EB" w:rsidRDefault="002A68EB" w:rsidP="002A68EB">
      <w:pPr>
        <w:numPr>
          <w:ilvl w:val="0"/>
          <w:numId w:val="9"/>
        </w:numPr>
        <w:spacing w:after="120"/>
        <w:rPr>
          <w:rFonts w:ascii="Arial" w:hAnsi="Arial" w:cs="Arial"/>
          <w:sz w:val="22"/>
          <w:szCs w:val="22"/>
        </w:rPr>
      </w:pPr>
      <w:r w:rsidRPr="002A68EB">
        <w:rPr>
          <w:rFonts w:ascii="Arial" w:hAnsi="Arial" w:cs="Arial"/>
          <w:sz w:val="22"/>
          <w:szCs w:val="22"/>
        </w:rPr>
        <w:t>Foster a culture of accountability, inclusion, and learning through mentorship, professional development, and transparent communication.</w:t>
      </w:r>
    </w:p>
    <w:p w14:paraId="45C0CE9B" w14:textId="241FEB19" w:rsidR="00DF607B" w:rsidRPr="00270A91" w:rsidRDefault="00DF607B" w:rsidP="002A68EB">
      <w:pPr>
        <w:numPr>
          <w:ilvl w:val="0"/>
          <w:numId w:val="9"/>
        </w:numPr>
        <w:spacing w:after="120"/>
        <w:rPr>
          <w:rFonts w:ascii="Arial" w:hAnsi="Arial" w:cs="Arial"/>
          <w:sz w:val="22"/>
          <w:szCs w:val="22"/>
        </w:rPr>
      </w:pPr>
      <w:r w:rsidRPr="00270A91">
        <w:rPr>
          <w:rFonts w:ascii="Arial" w:hAnsi="Arial" w:cs="Arial"/>
          <w:sz w:val="22"/>
          <w:szCs w:val="22"/>
        </w:rPr>
        <w:t>Perform other duties as assigned.</w:t>
      </w:r>
    </w:p>
    <w:p w14:paraId="45C0CE9C" w14:textId="77777777" w:rsidR="00DF607B" w:rsidRPr="00625458" w:rsidRDefault="00DF607B" w:rsidP="00625458">
      <w:pPr>
        <w:spacing w:before="120" w:after="120"/>
        <w:rPr>
          <w:rFonts w:ascii="Arial" w:hAnsi="Arial" w:cs="Arial"/>
          <w:b/>
          <w:sz w:val="26"/>
        </w:rPr>
      </w:pPr>
      <w:r w:rsidRPr="00D02F5B">
        <w:rPr>
          <w:rFonts w:ascii="Arial" w:hAnsi="Arial" w:cs="Arial"/>
          <w:b/>
          <w:sz w:val="26"/>
        </w:rPr>
        <w:t>Knowledge</w:t>
      </w:r>
      <w:r w:rsidR="00B2381E">
        <w:rPr>
          <w:rFonts w:ascii="Arial" w:hAnsi="Arial" w:cs="Arial"/>
          <w:b/>
          <w:sz w:val="26"/>
        </w:rPr>
        <w:t>/</w:t>
      </w:r>
      <w:r w:rsidRPr="00D02F5B">
        <w:rPr>
          <w:rFonts w:ascii="Arial" w:hAnsi="Arial" w:cs="Arial"/>
          <w:b/>
          <w:sz w:val="26"/>
        </w:rPr>
        <w:t xml:space="preserve">Skills </w:t>
      </w:r>
    </w:p>
    <w:p w14:paraId="19333120" w14:textId="12624C56" w:rsidR="002A68EB" w:rsidRDefault="002A68EB" w:rsidP="002A68EB">
      <w:pPr>
        <w:spacing w:after="120"/>
        <w:rPr>
          <w:rFonts w:ascii="Arial" w:hAnsi="Arial" w:cs="Arial"/>
          <w:sz w:val="22"/>
          <w:szCs w:val="22"/>
        </w:rPr>
      </w:pPr>
      <w:r w:rsidRPr="002A68EB">
        <w:rPr>
          <w:rFonts w:ascii="Arial" w:hAnsi="Arial" w:cs="Arial"/>
          <w:sz w:val="22"/>
          <w:szCs w:val="22"/>
        </w:rPr>
        <w:t>Knowledge of strategic planning, operational management, and performance improvement methodologies</w:t>
      </w:r>
    </w:p>
    <w:p w14:paraId="270AFD16" w14:textId="601738B6" w:rsidR="002A68EB" w:rsidRPr="002A68EB" w:rsidRDefault="002A68EB" w:rsidP="002A68EB">
      <w:pPr>
        <w:spacing w:after="120"/>
        <w:rPr>
          <w:rFonts w:ascii="Arial" w:hAnsi="Arial" w:cs="Arial"/>
          <w:sz w:val="22"/>
          <w:szCs w:val="22"/>
        </w:rPr>
      </w:pPr>
      <w:r w:rsidRPr="002A68EB">
        <w:rPr>
          <w:rFonts w:ascii="Arial" w:hAnsi="Arial" w:cs="Arial"/>
          <w:sz w:val="22"/>
          <w:szCs w:val="22"/>
        </w:rPr>
        <w:t>Knowledge of public sector governance, budget management, and capital planning</w:t>
      </w:r>
    </w:p>
    <w:p w14:paraId="6B9BFCFF" w14:textId="75E7842B" w:rsidR="002A68EB" w:rsidRPr="002A68EB" w:rsidRDefault="002A68EB" w:rsidP="002A68EB">
      <w:pPr>
        <w:spacing w:after="120"/>
        <w:rPr>
          <w:rFonts w:ascii="Arial" w:hAnsi="Arial" w:cs="Arial"/>
          <w:sz w:val="22"/>
          <w:szCs w:val="22"/>
        </w:rPr>
      </w:pPr>
      <w:r w:rsidRPr="002A68EB">
        <w:rPr>
          <w:rFonts w:ascii="Arial" w:hAnsi="Arial" w:cs="Arial"/>
          <w:sz w:val="22"/>
          <w:szCs w:val="22"/>
        </w:rPr>
        <w:t>Skill in managing large, diverse teams and integrating multiple service lines under a unified strategy</w:t>
      </w:r>
    </w:p>
    <w:p w14:paraId="5A45B1D4" w14:textId="4DC64E98" w:rsidR="002A68EB" w:rsidRPr="002A68EB" w:rsidRDefault="002A68EB" w:rsidP="002A68EB">
      <w:pPr>
        <w:spacing w:after="120"/>
        <w:rPr>
          <w:rFonts w:ascii="Arial" w:hAnsi="Arial" w:cs="Arial"/>
          <w:sz w:val="22"/>
          <w:szCs w:val="22"/>
        </w:rPr>
      </w:pPr>
      <w:r w:rsidRPr="002A68EB">
        <w:rPr>
          <w:rFonts w:ascii="Arial" w:hAnsi="Arial" w:cs="Arial"/>
          <w:sz w:val="22"/>
          <w:szCs w:val="22"/>
        </w:rPr>
        <w:t>Ability to engage and sustain relationships with people from diverse cultures, communities, and socio-economic backgrounds</w:t>
      </w:r>
    </w:p>
    <w:p w14:paraId="3EC40122" w14:textId="4BC2097D" w:rsidR="002A68EB" w:rsidRPr="002A68EB" w:rsidRDefault="002A68EB" w:rsidP="002A68EB">
      <w:pPr>
        <w:spacing w:after="120"/>
        <w:rPr>
          <w:rFonts w:ascii="Arial" w:hAnsi="Arial" w:cs="Arial"/>
          <w:sz w:val="22"/>
          <w:szCs w:val="22"/>
        </w:rPr>
      </w:pPr>
      <w:r w:rsidRPr="002A68EB">
        <w:rPr>
          <w:rFonts w:ascii="Arial" w:hAnsi="Arial" w:cs="Arial"/>
          <w:sz w:val="22"/>
          <w:szCs w:val="22"/>
        </w:rPr>
        <w:t>Ability to lead change, inspire collaboration, and manage complexity in politically sensitive environments</w:t>
      </w:r>
    </w:p>
    <w:p w14:paraId="006C5D82" w14:textId="6DF2EC4E" w:rsidR="002A68EB" w:rsidRPr="002A68EB" w:rsidRDefault="002A68EB" w:rsidP="002A68EB">
      <w:pPr>
        <w:spacing w:after="120"/>
        <w:rPr>
          <w:rFonts w:ascii="Arial" w:hAnsi="Arial" w:cs="Arial"/>
          <w:sz w:val="22"/>
          <w:szCs w:val="22"/>
        </w:rPr>
      </w:pPr>
      <w:r w:rsidRPr="002A68EB">
        <w:rPr>
          <w:rFonts w:ascii="Arial" w:hAnsi="Arial" w:cs="Arial"/>
          <w:sz w:val="22"/>
          <w:szCs w:val="22"/>
        </w:rPr>
        <w:t>Skill in policy development, negotiation, and conflict resolution</w:t>
      </w:r>
    </w:p>
    <w:p w14:paraId="584BE3C5" w14:textId="1B605BC2" w:rsidR="002A68EB" w:rsidRPr="002A68EB" w:rsidRDefault="002A68EB" w:rsidP="002A68EB">
      <w:pPr>
        <w:spacing w:after="120"/>
        <w:rPr>
          <w:rFonts w:ascii="Arial" w:hAnsi="Arial" w:cs="Arial"/>
          <w:sz w:val="22"/>
          <w:szCs w:val="22"/>
        </w:rPr>
      </w:pPr>
      <w:r w:rsidRPr="002A68EB">
        <w:rPr>
          <w:rFonts w:ascii="Arial" w:hAnsi="Arial" w:cs="Arial"/>
          <w:sz w:val="22"/>
          <w:szCs w:val="22"/>
        </w:rPr>
        <w:t>Demonstrated proficiency with business applications, data systems, and analytical tools</w:t>
      </w:r>
    </w:p>
    <w:p w14:paraId="0CC8172E" w14:textId="5AACD8D9" w:rsidR="002A68EB" w:rsidRDefault="002A68EB" w:rsidP="002A68EB">
      <w:pPr>
        <w:spacing w:after="120"/>
        <w:rPr>
          <w:rFonts w:ascii="Arial" w:hAnsi="Arial" w:cs="Arial"/>
          <w:sz w:val="22"/>
          <w:szCs w:val="22"/>
        </w:rPr>
      </w:pPr>
      <w:r w:rsidRPr="002A68EB">
        <w:rPr>
          <w:rFonts w:ascii="Arial" w:hAnsi="Arial" w:cs="Arial"/>
          <w:sz w:val="22"/>
          <w:szCs w:val="22"/>
        </w:rPr>
        <w:t>Ability to communicate effectively, both orally and in writing, with executive leadership, elected officials, and community partners</w:t>
      </w:r>
    </w:p>
    <w:p w14:paraId="45C0CEA2" w14:textId="602E4E45" w:rsidR="00E12A82" w:rsidRPr="00625458" w:rsidRDefault="00E12A82" w:rsidP="00D60BEE">
      <w:pPr>
        <w:spacing w:after="120"/>
        <w:rPr>
          <w:rFonts w:ascii="Arial" w:hAnsi="Arial" w:cs="Arial"/>
          <w:b/>
          <w:sz w:val="26"/>
        </w:rPr>
      </w:pPr>
      <w:r w:rsidRPr="00625458">
        <w:rPr>
          <w:rFonts w:ascii="Arial" w:hAnsi="Arial" w:cs="Arial"/>
          <w:b/>
          <w:sz w:val="26"/>
        </w:rPr>
        <w:t>Education and Experience Requirements</w:t>
      </w:r>
    </w:p>
    <w:p w14:paraId="760296D7" w14:textId="3407DF97" w:rsidR="00005EC9" w:rsidRPr="00005EC9" w:rsidRDefault="002A68EB" w:rsidP="00005EC9">
      <w:pPr>
        <w:spacing w:after="120"/>
        <w:rPr>
          <w:rFonts w:ascii="Arial" w:hAnsi="Arial" w:cs="Arial"/>
          <w:sz w:val="22"/>
          <w:szCs w:val="22"/>
        </w:rPr>
      </w:pPr>
      <w:r w:rsidRPr="002A68EB">
        <w:rPr>
          <w:rFonts w:ascii="Arial" w:hAnsi="Arial" w:cs="Arial"/>
          <w:sz w:val="22"/>
          <w:szCs w:val="22"/>
        </w:rPr>
        <w:t>Any combination of education and experience that clearly demonstrates the ability to perform the job duties of the position, including executive-level responsibility for strategic, operational, and capital program leadership in a large, complex organization</w:t>
      </w:r>
      <w:r w:rsidR="00005EC9" w:rsidRPr="00005EC9">
        <w:rPr>
          <w:rFonts w:ascii="Arial" w:hAnsi="Arial" w:cs="Arial"/>
          <w:sz w:val="22"/>
          <w:szCs w:val="22"/>
        </w:rPr>
        <w:t xml:space="preserve"> </w:t>
      </w:r>
    </w:p>
    <w:p w14:paraId="45C0CEA5" w14:textId="24924905" w:rsidR="00DF607B" w:rsidRPr="00625458" w:rsidRDefault="00DF607B" w:rsidP="00625458">
      <w:pPr>
        <w:spacing w:before="120" w:after="120"/>
        <w:rPr>
          <w:rFonts w:ascii="Arial" w:hAnsi="Arial" w:cs="Arial"/>
          <w:b/>
          <w:sz w:val="26"/>
        </w:rPr>
      </w:pPr>
      <w:r w:rsidRPr="00625458">
        <w:rPr>
          <w:rFonts w:ascii="Arial" w:hAnsi="Arial" w:cs="Arial"/>
          <w:b/>
          <w:sz w:val="26"/>
        </w:rPr>
        <w:t>Licensing, Certification and Other Requirements</w:t>
      </w:r>
    </w:p>
    <w:p w14:paraId="45C0CEA6" w14:textId="11CC2A7E" w:rsidR="00DF607B" w:rsidRDefault="00DF607B">
      <w:pPr>
        <w:spacing w:after="120"/>
        <w:rPr>
          <w:rFonts w:ascii="Arial" w:hAnsi="Arial" w:cs="Arial"/>
          <w:sz w:val="22"/>
          <w:szCs w:val="22"/>
        </w:rPr>
      </w:pPr>
      <w:r w:rsidRPr="00B36D30">
        <w:rPr>
          <w:rFonts w:ascii="Arial" w:hAnsi="Arial" w:cs="Arial"/>
          <w:sz w:val="22"/>
          <w:szCs w:val="22"/>
        </w:rPr>
        <w:t>Some licenses, certifications</w:t>
      </w:r>
      <w:r w:rsidR="003A64FA">
        <w:rPr>
          <w:rFonts w:ascii="Arial" w:hAnsi="Arial" w:cs="Arial"/>
          <w:sz w:val="22"/>
          <w:szCs w:val="22"/>
        </w:rPr>
        <w:t>,</w:t>
      </w:r>
      <w:r w:rsidRPr="00B36D30">
        <w:rPr>
          <w:rFonts w:ascii="Arial" w:hAnsi="Arial" w:cs="Arial"/>
          <w:sz w:val="22"/>
          <w:szCs w:val="22"/>
        </w:rPr>
        <w:t xml:space="preserve"> and other requirements determined to be necessary to meet the business needs of the</w:t>
      </w:r>
      <w:r w:rsidR="00005EC9">
        <w:rPr>
          <w:rFonts w:ascii="Arial" w:hAnsi="Arial" w:cs="Arial"/>
          <w:sz w:val="22"/>
          <w:szCs w:val="22"/>
        </w:rPr>
        <w:t xml:space="preserve"> employing unit may be required</w:t>
      </w:r>
    </w:p>
    <w:p w14:paraId="45C0CEA7" w14:textId="77777777" w:rsidR="005E1959" w:rsidRPr="00BE0D73" w:rsidRDefault="005E1959">
      <w:pPr>
        <w:spacing w:after="120"/>
        <w:rPr>
          <w:rFonts w:ascii="Arial" w:hAnsi="Arial" w:cs="Arial"/>
          <w:sz w:val="22"/>
          <w:szCs w:val="22"/>
        </w:rPr>
      </w:pPr>
    </w:p>
    <w:tbl>
      <w:tblPr>
        <w:tblW w:w="9576" w:type="dxa"/>
        <w:jc w:val="center"/>
        <w:tblLook w:val="01E0" w:firstRow="1" w:lastRow="1" w:firstColumn="1" w:lastColumn="1" w:noHBand="0" w:noVBand="0"/>
      </w:tblPr>
      <w:tblGrid>
        <w:gridCol w:w="3100"/>
        <w:gridCol w:w="6476"/>
      </w:tblGrid>
      <w:tr w:rsidR="00DF607B" w:rsidRPr="003E7835" w14:paraId="45C0CEAA" w14:textId="77777777" w:rsidTr="002D7EF3">
        <w:trPr>
          <w:trHeight w:val="360"/>
          <w:jc w:val="center"/>
        </w:trPr>
        <w:tc>
          <w:tcPr>
            <w:tcW w:w="3100" w:type="dxa"/>
            <w:tcBorders>
              <w:top w:val="double" w:sz="4" w:space="0" w:color="auto"/>
            </w:tcBorders>
            <w:vAlign w:val="center"/>
          </w:tcPr>
          <w:p w14:paraId="45C0CEA8" w14:textId="77777777" w:rsidR="00DF607B" w:rsidRPr="003E7835" w:rsidRDefault="00DF607B" w:rsidP="002D7EF3">
            <w:pPr>
              <w:rPr>
                <w:rFonts w:ascii="Arial" w:hAnsi="Arial" w:cs="Arial"/>
              </w:rPr>
            </w:pPr>
            <w:r w:rsidRPr="003E7835">
              <w:rPr>
                <w:rFonts w:ascii="Arial" w:hAnsi="Arial" w:cs="Arial"/>
                <w:b/>
              </w:rPr>
              <w:t>FLSA Designation</w:t>
            </w:r>
          </w:p>
        </w:tc>
        <w:tc>
          <w:tcPr>
            <w:tcW w:w="6476" w:type="dxa"/>
            <w:tcBorders>
              <w:top w:val="double" w:sz="4" w:space="0" w:color="auto"/>
            </w:tcBorders>
            <w:vAlign w:val="center"/>
          </w:tcPr>
          <w:p w14:paraId="45C0CEA9" w14:textId="7761A777" w:rsidR="00DF607B" w:rsidRPr="00532BFA" w:rsidRDefault="00DF607B" w:rsidP="002D7EF3">
            <w:pPr>
              <w:rPr>
                <w:rFonts w:ascii="Arial" w:hAnsi="Arial" w:cs="Arial"/>
              </w:rPr>
            </w:pPr>
            <w:r w:rsidRPr="00532BFA">
              <w:rPr>
                <w:rFonts w:ascii="Arial" w:hAnsi="Arial" w:cs="Arial"/>
              </w:rPr>
              <w:t xml:space="preserve">Exempt </w:t>
            </w:r>
            <w:r w:rsidR="00270A91" w:rsidRPr="00532BFA">
              <w:rPr>
                <w:rFonts w:ascii="Arial" w:hAnsi="Arial" w:cs="Arial"/>
              </w:rPr>
              <w:t>(</w:t>
            </w:r>
            <w:r w:rsidR="004367A2" w:rsidRPr="00532BFA">
              <w:rPr>
                <w:rFonts w:ascii="Arial" w:hAnsi="Arial" w:cs="Arial"/>
              </w:rPr>
              <w:t>Administrative</w:t>
            </w:r>
            <w:r w:rsidRPr="00532BFA">
              <w:rPr>
                <w:rFonts w:ascii="Arial" w:hAnsi="Arial" w:cs="Arial"/>
              </w:rPr>
              <w:t>)</w:t>
            </w:r>
          </w:p>
        </w:tc>
      </w:tr>
      <w:tr w:rsidR="00772A3C" w:rsidRPr="003E7835" w14:paraId="45C0CEAD" w14:textId="77777777" w:rsidTr="002D7EF3">
        <w:trPr>
          <w:trHeight w:val="360"/>
          <w:jc w:val="center"/>
        </w:trPr>
        <w:tc>
          <w:tcPr>
            <w:tcW w:w="3100" w:type="dxa"/>
            <w:vAlign w:val="center"/>
          </w:tcPr>
          <w:p w14:paraId="45C0CEAB" w14:textId="77777777" w:rsidR="00303EF0" w:rsidRPr="003E7835" w:rsidRDefault="00772A3C" w:rsidP="002D7EF3">
            <w:pPr>
              <w:rPr>
                <w:rFonts w:ascii="Arial" w:hAnsi="Arial" w:cs="Arial"/>
                <w:b/>
              </w:rPr>
            </w:pPr>
            <w:r w:rsidRPr="003E7835">
              <w:rPr>
                <w:rFonts w:ascii="Arial" w:hAnsi="Arial" w:cs="Arial"/>
                <w:b/>
              </w:rPr>
              <w:t>Service Status</w:t>
            </w:r>
          </w:p>
        </w:tc>
        <w:tc>
          <w:tcPr>
            <w:tcW w:w="6476" w:type="dxa"/>
            <w:vAlign w:val="center"/>
          </w:tcPr>
          <w:p w14:paraId="45C0CEAC" w14:textId="14DB73B0" w:rsidR="00303EF0" w:rsidRPr="003E7835" w:rsidRDefault="00772A3C" w:rsidP="002D7EF3">
            <w:pPr>
              <w:rPr>
                <w:rFonts w:ascii="Arial" w:hAnsi="Arial" w:cs="Arial"/>
              </w:rPr>
            </w:pPr>
            <w:r w:rsidRPr="003E7835">
              <w:rPr>
                <w:rFonts w:ascii="Arial" w:hAnsi="Arial" w:cs="Arial"/>
              </w:rPr>
              <w:t>Career Service</w:t>
            </w:r>
          </w:p>
        </w:tc>
      </w:tr>
      <w:tr w:rsidR="00DF607B" w:rsidRPr="003E7835" w14:paraId="45C0CEB0" w14:textId="77777777" w:rsidTr="002D7EF3">
        <w:trPr>
          <w:trHeight w:val="360"/>
          <w:jc w:val="center"/>
        </w:trPr>
        <w:tc>
          <w:tcPr>
            <w:tcW w:w="3100" w:type="dxa"/>
            <w:vAlign w:val="center"/>
          </w:tcPr>
          <w:p w14:paraId="45C0CEAE" w14:textId="77777777" w:rsidR="00DF607B" w:rsidRPr="003E7835" w:rsidRDefault="002D7EF3" w:rsidP="002D7EF3">
            <w:pPr>
              <w:rPr>
                <w:rFonts w:ascii="Arial" w:hAnsi="Arial" w:cs="Arial"/>
                <w:b/>
              </w:rPr>
            </w:pPr>
            <w:r>
              <w:rPr>
                <w:rFonts w:ascii="Arial" w:hAnsi="Arial" w:cs="Arial"/>
                <w:b/>
              </w:rPr>
              <w:t>EEO Code</w:t>
            </w:r>
          </w:p>
        </w:tc>
        <w:tc>
          <w:tcPr>
            <w:tcW w:w="6476" w:type="dxa"/>
            <w:vAlign w:val="center"/>
          </w:tcPr>
          <w:p w14:paraId="45C0CEAF" w14:textId="41F1E2A8" w:rsidR="00DF607B" w:rsidRPr="00532BFA" w:rsidRDefault="00D60BEE" w:rsidP="002D7EF3">
            <w:pPr>
              <w:rPr>
                <w:rFonts w:ascii="Arial" w:hAnsi="Arial" w:cs="Arial"/>
              </w:rPr>
            </w:pPr>
            <w:r>
              <w:rPr>
                <w:rFonts w:ascii="Arial" w:hAnsi="Arial" w:cs="Arial"/>
              </w:rPr>
              <w:t>2</w:t>
            </w:r>
          </w:p>
        </w:tc>
      </w:tr>
      <w:tr w:rsidR="00DF607B" w:rsidRPr="003E7835" w14:paraId="45C0CEB3" w14:textId="77777777" w:rsidTr="002D7EF3">
        <w:trPr>
          <w:trHeight w:val="360"/>
          <w:jc w:val="center"/>
        </w:trPr>
        <w:tc>
          <w:tcPr>
            <w:tcW w:w="3100" w:type="dxa"/>
            <w:vAlign w:val="center"/>
          </w:tcPr>
          <w:p w14:paraId="45C0CEB1" w14:textId="77777777" w:rsidR="00DF607B" w:rsidRPr="003E7835" w:rsidRDefault="002D7EF3" w:rsidP="002D7EF3">
            <w:pPr>
              <w:rPr>
                <w:rFonts w:ascii="Arial" w:hAnsi="Arial" w:cs="Arial"/>
              </w:rPr>
            </w:pPr>
            <w:r w:rsidRPr="003E7835">
              <w:rPr>
                <w:rFonts w:ascii="Arial" w:hAnsi="Arial" w:cs="Arial"/>
                <w:b/>
              </w:rPr>
              <w:t>Levels within same series</w:t>
            </w:r>
          </w:p>
        </w:tc>
        <w:tc>
          <w:tcPr>
            <w:tcW w:w="6476" w:type="dxa"/>
            <w:vAlign w:val="center"/>
          </w:tcPr>
          <w:p w14:paraId="45C0CEB2" w14:textId="779117F3" w:rsidR="00DF607B" w:rsidRPr="003E7835" w:rsidRDefault="002D7EF3" w:rsidP="002D7EF3">
            <w:pPr>
              <w:pStyle w:val="text"/>
              <w:spacing w:after="0"/>
              <w:rPr>
                <w:rFonts w:ascii="Arial" w:hAnsi="Arial" w:cs="Arial"/>
                <w:sz w:val="20"/>
              </w:rPr>
            </w:pPr>
            <w:r w:rsidRPr="002D7EF3">
              <w:rPr>
                <w:rFonts w:ascii="Arial" w:hAnsi="Arial" w:cs="Arial"/>
                <w:sz w:val="20"/>
              </w:rPr>
              <w:t>None</w:t>
            </w:r>
          </w:p>
        </w:tc>
      </w:tr>
      <w:tr w:rsidR="002D7EF3" w:rsidRPr="003E7835" w14:paraId="45C0CEB6" w14:textId="77777777" w:rsidTr="002D7EF3">
        <w:trPr>
          <w:trHeight w:val="360"/>
          <w:jc w:val="center"/>
        </w:trPr>
        <w:tc>
          <w:tcPr>
            <w:tcW w:w="3100" w:type="dxa"/>
            <w:vAlign w:val="center"/>
          </w:tcPr>
          <w:p w14:paraId="45C0CEB4" w14:textId="77777777" w:rsidR="002D7EF3" w:rsidRPr="003E7835" w:rsidRDefault="002D7EF3" w:rsidP="002D7EF3">
            <w:pPr>
              <w:rPr>
                <w:rFonts w:ascii="Arial" w:hAnsi="Arial" w:cs="Arial"/>
                <w:b/>
              </w:rPr>
            </w:pPr>
            <w:r w:rsidRPr="003E7835">
              <w:rPr>
                <w:rFonts w:ascii="Arial" w:hAnsi="Arial" w:cs="Arial"/>
                <w:b/>
              </w:rPr>
              <w:t>Class History</w:t>
            </w:r>
          </w:p>
        </w:tc>
        <w:tc>
          <w:tcPr>
            <w:tcW w:w="6476" w:type="dxa"/>
            <w:vAlign w:val="center"/>
          </w:tcPr>
          <w:p w14:paraId="45C0CEB5" w14:textId="2BE1C5CE" w:rsidR="002D7EF3" w:rsidRDefault="006C0F2D" w:rsidP="00005EC9">
            <w:pPr>
              <w:pStyle w:val="text"/>
              <w:spacing w:after="0"/>
              <w:rPr>
                <w:rFonts w:ascii="Arial" w:hAnsi="Arial" w:cs="Arial"/>
                <w:sz w:val="20"/>
              </w:rPr>
            </w:pPr>
            <w:r>
              <w:rPr>
                <w:rFonts w:ascii="Arial" w:hAnsi="Arial" w:cs="Arial"/>
                <w:sz w:val="20"/>
              </w:rPr>
              <w:t>12</w:t>
            </w:r>
            <w:r w:rsidR="00005EC9">
              <w:rPr>
                <w:rFonts w:ascii="Arial" w:hAnsi="Arial" w:cs="Arial"/>
                <w:sz w:val="20"/>
              </w:rPr>
              <w:t>/</w:t>
            </w:r>
            <w:r w:rsidR="00D60BEE">
              <w:rPr>
                <w:rFonts w:ascii="Arial" w:hAnsi="Arial" w:cs="Arial"/>
                <w:sz w:val="20"/>
              </w:rPr>
              <w:t>2025</w:t>
            </w:r>
            <w:r w:rsidR="00532BFA">
              <w:rPr>
                <w:rFonts w:ascii="Arial" w:hAnsi="Arial" w:cs="Arial"/>
                <w:sz w:val="20"/>
              </w:rPr>
              <w:t xml:space="preserve"> -</w:t>
            </w:r>
            <w:r w:rsidR="00005EC9">
              <w:rPr>
                <w:rFonts w:ascii="Arial" w:hAnsi="Arial" w:cs="Arial"/>
                <w:sz w:val="20"/>
              </w:rPr>
              <w:t xml:space="preserve"> </w:t>
            </w:r>
            <w:r w:rsidR="002D7EF3">
              <w:rPr>
                <w:rFonts w:ascii="Arial" w:hAnsi="Arial" w:cs="Arial"/>
                <w:sz w:val="20"/>
              </w:rPr>
              <w:t>Created</w:t>
            </w:r>
          </w:p>
        </w:tc>
      </w:tr>
    </w:tbl>
    <w:p w14:paraId="45C0CEB7" w14:textId="77777777" w:rsidR="002B1C7C" w:rsidRDefault="002B1C7C">
      <w:pPr>
        <w:spacing w:after="120"/>
      </w:pPr>
    </w:p>
    <w:sectPr w:rsidR="002B1C7C" w:rsidSect="00903661">
      <w:footerReference w:type="default" r:id="rId12"/>
      <w:headerReference w:type="first" r:id="rId13"/>
      <w:pgSz w:w="12240" w:h="15840" w:code="1"/>
      <w:pgMar w:top="1008" w:right="1008" w:bottom="1008" w:left="324" w:header="360" w:footer="360" w:gutter="57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0CEBA" w14:textId="77777777" w:rsidR="00DB75FB" w:rsidRDefault="00DB75FB">
      <w:r>
        <w:separator/>
      </w:r>
    </w:p>
  </w:endnote>
  <w:endnote w:type="continuationSeparator" w:id="0">
    <w:p w14:paraId="45C0CEBB" w14:textId="77777777" w:rsidR="00DB75FB" w:rsidRDefault="00DB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CEBC" w14:textId="77777777" w:rsidR="00DB4EC4" w:rsidRDefault="00DB4EC4">
    <w:pPr>
      <w:pStyle w:val="Footer"/>
      <w:pBdr>
        <w:top w:val="single" w:sz="6" w:space="1" w:color="auto"/>
      </w:pBdr>
      <w:jc w:val="right"/>
      <w:rPr>
        <w:rStyle w:val="PageNumber"/>
        <w:rFonts w:ascii="Arial" w:hAnsi="Arial" w:cs="Arial"/>
        <w:sz w:val="18"/>
        <w:szCs w:val="18"/>
      </w:rPr>
    </w:pPr>
    <w:r>
      <w:rP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005EC9">
      <w:rPr>
        <w:rStyle w:val="PageNumber"/>
        <w:rFonts w:ascii="Arial" w:hAnsi="Arial" w:cs="Arial"/>
        <w:noProof/>
        <w:sz w:val="18"/>
        <w:szCs w:val="18"/>
      </w:rPr>
      <w:t>2</w:t>
    </w:r>
    <w:r>
      <w:rPr>
        <w:rStyle w:val="PageNumber"/>
        <w:rFonts w:ascii="Arial" w:hAnsi="Arial" w:cs="Arial"/>
        <w:sz w:val="18"/>
        <w:szCs w:val="18"/>
      </w:rPr>
      <w:fldChar w:fldCharType="end"/>
    </w:r>
  </w:p>
  <w:p w14:paraId="45C0CEBD" w14:textId="05BC3B67" w:rsidR="00DB4EC4" w:rsidRDefault="00D60BEE">
    <w:pPr>
      <w:pStyle w:val="Footer"/>
      <w:pBdr>
        <w:top w:val="single" w:sz="6" w:space="1" w:color="auto"/>
      </w:pBdr>
      <w:jc w:val="right"/>
      <w:rPr>
        <w:rStyle w:val="PageNumber"/>
        <w:rFonts w:ascii="Arial" w:hAnsi="Arial" w:cs="Arial"/>
        <w:sz w:val="18"/>
        <w:szCs w:val="18"/>
      </w:rPr>
    </w:pPr>
    <w:r>
      <w:rPr>
        <w:rStyle w:val="PageNumber"/>
        <w:rFonts w:ascii="Arial" w:hAnsi="Arial" w:cs="Arial"/>
        <w:sz w:val="18"/>
        <w:szCs w:val="18"/>
      </w:rPr>
      <w:t>Strategic Programs Manager</w:t>
    </w:r>
  </w:p>
  <w:p w14:paraId="45C0CEBE" w14:textId="6788091F" w:rsidR="00DB4EC4" w:rsidRDefault="006C0F2D">
    <w:pPr>
      <w:pStyle w:val="Footer"/>
      <w:jc w:val="right"/>
      <w:rPr>
        <w:rStyle w:val="PageNumber"/>
        <w:sz w:val="18"/>
        <w:szCs w:val="18"/>
      </w:rPr>
    </w:pPr>
    <w:r>
      <w:rPr>
        <w:rStyle w:val="PageNumber"/>
        <w:rFonts w:ascii="Arial" w:hAnsi="Arial" w:cs="Arial"/>
        <w:sz w:val="18"/>
        <w:szCs w:val="18"/>
      </w:rPr>
      <w:t>12</w:t>
    </w:r>
    <w:r w:rsidR="002B1C7C">
      <w:rPr>
        <w:rStyle w:val="PageNumber"/>
        <w:rFonts w:ascii="Arial" w:hAnsi="Arial" w:cs="Arial"/>
        <w:sz w:val="18"/>
        <w:szCs w:val="18"/>
      </w:rPr>
      <w:t>/</w:t>
    </w:r>
    <w:r w:rsidR="00D60BEE">
      <w:rPr>
        <w:rStyle w:val="PageNumber"/>
        <w:rFonts w:ascii="Arial" w:hAnsi="Arial" w:cs="Arial"/>
        <w:sz w:val="18"/>
        <w:szCs w:val="18"/>
      </w:rPr>
      <w:t>2025</w:t>
    </w:r>
    <w:r w:rsidR="00DB4EC4">
      <w:rPr>
        <w:rStyle w:val="PageNumber"/>
        <w:rFonts w:ascii="Arial" w:hAnsi="Arial" w:cs="Arial"/>
        <w:sz w:val="18"/>
        <w:szCs w:val="18"/>
      </w:rPr>
      <w:t xml:space="preserve">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0CEB8" w14:textId="77777777" w:rsidR="00DB75FB" w:rsidRDefault="00DB75FB">
      <w:r>
        <w:separator/>
      </w:r>
    </w:p>
  </w:footnote>
  <w:footnote w:type="continuationSeparator" w:id="0">
    <w:p w14:paraId="45C0CEB9" w14:textId="77777777" w:rsidR="00DB75FB" w:rsidRDefault="00DB7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double" w:sz="4" w:space="0" w:color="auto"/>
      </w:tblBorders>
      <w:tblLook w:val="01E0" w:firstRow="1" w:lastRow="1" w:firstColumn="1" w:lastColumn="1" w:noHBand="0" w:noVBand="0"/>
    </w:tblPr>
    <w:tblGrid>
      <w:gridCol w:w="2726"/>
      <w:gridCol w:w="6850"/>
    </w:tblGrid>
    <w:tr w:rsidR="00DB4EC4" w:rsidRPr="00DB4EC4" w14:paraId="45C0CEC2" w14:textId="77777777" w:rsidTr="00C44A78">
      <w:trPr>
        <w:trHeight w:val="504"/>
        <w:jc w:val="center"/>
      </w:trPr>
      <w:tc>
        <w:tcPr>
          <w:tcW w:w="2726" w:type="dxa"/>
          <w:vMerge w:val="restart"/>
          <w:vAlign w:val="center"/>
        </w:tcPr>
        <w:p w14:paraId="45C0CEBF" w14:textId="6094E81F" w:rsidR="00DB4EC4" w:rsidRPr="003E7835" w:rsidRDefault="004509AE" w:rsidP="00C44A78">
          <w:pPr>
            <w:spacing w:before="40"/>
            <w:ind w:left="234" w:hanging="234"/>
            <w:jc w:val="center"/>
            <w:rPr>
              <w:rFonts w:ascii="Arial" w:hAnsi="Arial" w:cs="Arial"/>
            </w:rPr>
          </w:pPr>
          <w:r>
            <w:rPr>
              <w:noProof/>
            </w:rPr>
            <w:drawing>
              <wp:inline distT="0" distB="0" distL="0" distR="0" wp14:anchorId="45C0CECA" wp14:editId="63481D32">
                <wp:extent cx="914400"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36270"/>
                        </a:xfrm>
                        <a:prstGeom prst="rect">
                          <a:avLst/>
                        </a:prstGeom>
                        <a:noFill/>
                        <a:ln>
                          <a:noFill/>
                        </a:ln>
                      </pic:spPr>
                    </pic:pic>
                  </a:graphicData>
                </a:graphic>
              </wp:inline>
            </w:drawing>
          </w:r>
        </w:p>
        <w:p w14:paraId="45C0CEC0" w14:textId="77777777" w:rsidR="00DB4EC4" w:rsidRPr="003E7835" w:rsidRDefault="00DB4EC4" w:rsidP="00C44A78">
          <w:pPr>
            <w:spacing w:before="40" w:after="40"/>
            <w:jc w:val="center"/>
            <w:rPr>
              <w:rFonts w:ascii="Arial" w:hAnsi="Arial" w:cs="Arial"/>
            </w:rPr>
          </w:pPr>
          <w:r w:rsidRPr="003E7835">
            <w:rPr>
              <w:rFonts w:ascii="Arial" w:hAnsi="Arial" w:cs="Arial"/>
            </w:rPr>
            <w:t>Classification Specification</w:t>
          </w:r>
        </w:p>
      </w:tc>
      <w:tc>
        <w:tcPr>
          <w:tcW w:w="6850" w:type="dxa"/>
          <w:vAlign w:val="center"/>
        </w:tcPr>
        <w:p w14:paraId="45C0CEC1" w14:textId="77777777" w:rsidR="00DB4EC4" w:rsidRPr="00DB4EC4" w:rsidRDefault="00DB4EC4" w:rsidP="00C44A78">
          <w:pPr>
            <w:jc w:val="right"/>
            <w:rPr>
              <w:rFonts w:ascii="Arial" w:hAnsi="Arial" w:cs="Arial"/>
              <w:b/>
              <w:sz w:val="28"/>
              <w:szCs w:val="28"/>
              <w:highlight w:val="yellow"/>
            </w:rPr>
          </w:pPr>
        </w:p>
      </w:tc>
    </w:tr>
    <w:tr w:rsidR="00DB4EC4" w:rsidRPr="003E7835" w14:paraId="45C0CEC5" w14:textId="77777777" w:rsidTr="00C44A78">
      <w:trPr>
        <w:trHeight w:val="504"/>
        <w:jc w:val="center"/>
      </w:trPr>
      <w:tc>
        <w:tcPr>
          <w:tcW w:w="2726" w:type="dxa"/>
          <w:vMerge/>
        </w:tcPr>
        <w:p w14:paraId="45C0CEC3" w14:textId="77777777" w:rsidR="00DB4EC4" w:rsidRPr="003E7835" w:rsidRDefault="00DB4EC4">
          <w:pPr>
            <w:rPr>
              <w:rFonts w:ascii="Arial" w:hAnsi="Arial" w:cs="Arial"/>
            </w:rPr>
          </w:pPr>
        </w:p>
      </w:tc>
      <w:tc>
        <w:tcPr>
          <w:tcW w:w="6850" w:type="dxa"/>
          <w:vAlign w:val="center"/>
        </w:tcPr>
        <w:p w14:paraId="45C0CEC4" w14:textId="14E208EF" w:rsidR="00DB4EC4" w:rsidRPr="003E7835" w:rsidRDefault="006C0F2D" w:rsidP="00C44A78">
          <w:pPr>
            <w:tabs>
              <w:tab w:val="left" w:pos="5670"/>
              <w:tab w:val="right" w:pos="6634"/>
            </w:tabs>
            <w:jc w:val="right"/>
            <w:rPr>
              <w:rFonts w:ascii="Arial" w:hAnsi="Arial" w:cs="Arial"/>
              <w:b/>
              <w:sz w:val="24"/>
              <w:szCs w:val="24"/>
            </w:rPr>
          </w:pPr>
          <w:r>
            <w:rPr>
              <w:rFonts w:ascii="Arial" w:hAnsi="Arial" w:cs="Arial"/>
              <w:b/>
              <w:sz w:val="24"/>
              <w:szCs w:val="24"/>
            </w:rPr>
            <w:t>2454100</w:t>
          </w:r>
        </w:p>
      </w:tc>
    </w:tr>
    <w:tr w:rsidR="00DB4EC4" w:rsidRPr="003E7835" w14:paraId="45C0CEC8" w14:textId="77777777" w:rsidTr="00C44A78">
      <w:trPr>
        <w:trHeight w:val="504"/>
        <w:jc w:val="center"/>
      </w:trPr>
      <w:tc>
        <w:tcPr>
          <w:tcW w:w="2726" w:type="dxa"/>
          <w:vMerge/>
        </w:tcPr>
        <w:p w14:paraId="45C0CEC6" w14:textId="77777777" w:rsidR="00DB4EC4" w:rsidRPr="003E7835" w:rsidRDefault="00DB4EC4">
          <w:pPr>
            <w:rPr>
              <w:rFonts w:ascii="Arial" w:hAnsi="Arial" w:cs="Arial"/>
            </w:rPr>
          </w:pPr>
        </w:p>
      </w:tc>
      <w:tc>
        <w:tcPr>
          <w:tcW w:w="6850" w:type="dxa"/>
          <w:vAlign w:val="center"/>
        </w:tcPr>
        <w:p w14:paraId="45C0CEC7" w14:textId="52BB456E" w:rsidR="00DB4EC4" w:rsidRPr="003E7835" w:rsidRDefault="00D60BEE" w:rsidP="00C44A78">
          <w:pPr>
            <w:jc w:val="right"/>
            <w:rPr>
              <w:rFonts w:ascii="Arial" w:hAnsi="Arial" w:cs="Arial"/>
              <w:b/>
              <w:bCs/>
              <w:sz w:val="28"/>
              <w:szCs w:val="28"/>
            </w:rPr>
          </w:pPr>
          <w:r>
            <w:rPr>
              <w:rFonts w:ascii="Arial" w:hAnsi="Arial" w:cs="Arial"/>
              <w:b/>
              <w:bCs/>
              <w:sz w:val="28"/>
              <w:szCs w:val="28"/>
            </w:rPr>
            <w:t>STRATEGIC PROGRAMS MANAGER</w:t>
          </w:r>
        </w:p>
      </w:tc>
    </w:tr>
  </w:tbl>
  <w:p w14:paraId="45C0CEC9" w14:textId="3ACA1558" w:rsidR="00DB4EC4" w:rsidRDefault="00DB4EC4">
    <w:pPr>
      <w:pStyle w:val="Header"/>
      <w:rPr>
        <w:rFonts w:ascii="Arial" w:hAnsi="Arial"/>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155"/>
    <w:multiLevelType w:val="hybridMultilevel"/>
    <w:tmpl w:val="1324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66379"/>
    <w:multiLevelType w:val="singleLevel"/>
    <w:tmpl w:val="BDFABC12"/>
    <w:lvl w:ilvl="0">
      <w:start w:val="1"/>
      <w:numFmt w:val="decimal"/>
      <w:lvlText w:val="%1."/>
      <w:legacy w:legacy="1" w:legacySpace="0" w:legacyIndent="360"/>
      <w:lvlJc w:val="left"/>
      <w:pPr>
        <w:ind w:left="360" w:hanging="360"/>
      </w:pPr>
    </w:lvl>
  </w:abstractNum>
  <w:abstractNum w:abstractNumId="2" w15:restartNumberingAfterBreak="0">
    <w:nsid w:val="20040223"/>
    <w:multiLevelType w:val="hybridMultilevel"/>
    <w:tmpl w:val="45A08CA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143678"/>
    <w:multiLevelType w:val="hybridMultilevel"/>
    <w:tmpl w:val="55842ADC"/>
    <w:lvl w:ilvl="0" w:tplc="9D3C7772">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7494A7B"/>
    <w:multiLevelType w:val="hybridMultilevel"/>
    <w:tmpl w:val="0BD41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33DCC"/>
    <w:multiLevelType w:val="singleLevel"/>
    <w:tmpl w:val="027220BE"/>
    <w:lvl w:ilvl="0">
      <w:start w:val="1"/>
      <w:numFmt w:val="decimal"/>
      <w:lvlText w:val="%1."/>
      <w:legacy w:legacy="1" w:legacySpace="0" w:legacyIndent="360"/>
      <w:lvlJc w:val="left"/>
      <w:pPr>
        <w:ind w:left="360" w:hanging="360"/>
      </w:pPr>
    </w:lvl>
  </w:abstractNum>
  <w:abstractNum w:abstractNumId="6" w15:restartNumberingAfterBreak="0">
    <w:nsid w:val="339D5B99"/>
    <w:multiLevelType w:val="hybridMultilevel"/>
    <w:tmpl w:val="56C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12F46"/>
    <w:multiLevelType w:val="hybridMultilevel"/>
    <w:tmpl w:val="B9C8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294942"/>
    <w:multiLevelType w:val="singleLevel"/>
    <w:tmpl w:val="47DAF7B4"/>
    <w:lvl w:ilvl="0">
      <w:start w:val="1"/>
      <w:numFmt w:val="decimal"/>
      <w:lvlText w:val="%1."/>
      <w:legacy w:legacy="1" w:legacySpace="0" w:legacyIndent="360"/>
      <w:lvlJc w:val="left"/>
      <w:pPr>
        <w:ind w:left="360" w:hanging="360"/>
      </w:pPr>
    </w:lvl>
  </w:abstractNum>
  <w:abstractNum w:abstractNumId="9" w15:restartNumberingAfterBreak="0">
    <w:nsid w:val="481816A0"/>
    <w:multiLevelType w:val="singleLevel"/>
    <w:tmpl w:val="3782E832"/>
    <w:lvl w:ilvl="0">
      <w:start w:val="1"/>
      <w:numFmt w:val="decimal"/>
      <w:lvlText w:val="%1."/>
      <w:legacy w:legacy="1" w:legacySpace="0" w:legacyIndent="360"/>
      <w:lvlJc w:val="left"/>
      <w:pPr>
        <w:ind w:left="360" w:hanging="360"/>
      </w:pPr>
    </w:lvl>
  </w:abstractNum>
  <w:abstractNum w:abstractNumId="10" w15:restartNumberingAfterBreak="0">
    <w:nsid w:val="492269C3"/>
    <w:multiLevelType w:val="singleLevel"/>
    <w:tmpl w:val="6674EE12"/>
    <w:lvl w:ilvl="0">
      <w:start w:val="1"/>
      <w:numFmt w:val="decimal"/>
      <w:lvlText w:val="%1."/>
      <w:legacy w:legacy="1" w:legacySpace="0" w:legacyIndent="360"/>
      <w:lvlJc w:val="left"/>
      <w:pPr>
        <w:ind w:left="360" w:hanging="360"/>
      </w:pPr>
    </w:lvl>
  </w:abstractNum>
  <w:abstractNum w:abstractNumId="11" w15:restartNumberingAfterBreak="0">
    <w:nsid w:val="4AAF6706"/>
    <w:multiLevelType w:val="hybridMultilevel"/>
    <w:tmpl w:val="5AA6ED02"/>
    <w:lvl w:ilvl="0" w:tplc="4746B0A8">
      <w:start w:val="1"/>
      <w:numFmt w:val="decimal"/>
      <w:lvlText w:val="%1."/>
      <w:legacy w:legacy="1" w:legacySpace="0" w:legacyIndent="360"/>
      <w:lvlJc w:val="left"/>
      <w:pPr>
        <w:ind w:left="360" w:hanging="360"/>
      </w:pPr>
      <w:rPr>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7B2C72"/>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5B995207"/>
    <w:multiLevelType w:val="hybridMultilevel"/>
    <w:tmpl w:val="2FDA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497FCC"/>
    <w:multiLevelType w:val="hybridMultilevel"/>
    <w:tmpl w:val="271811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3555F11"/>
    <w:multiLevelType w:val="singleLevel"/>
    <w:tmpl w:val="AFD622FA"/>
    <w:lvl w:ilvl="0">
      <w:start w:val="1"/>
      <w:numFmt w:val="decimal"/>
      <w:lvlText w:val="%1."/>
      <w:legacy w:legacy="1" w:legacySpace="0" w:legacyIndent="360"/>
      <w:lvlJc w:val="left"/>
      <w:pPr>
        <w:ind w:left="360" w:hanging="360"/>
      </w:pPr>
    </w:lvl>
  </w:abstractNum>
  <w:num w:numId="1" w16cid:durableId="1412046038">
    <w:abstractNumId w:val="9"/>
  </w:num>
  <w:num w:numId="2" w16cid:durableId="378168638">
    <w:abstractNumId w:val="14"/>
  </w:num>
  <w:num w:numId="3" w16cid:durableId="1036851274">
    <w:abstractNumId w:val="5"/>
  </w:num>
  <w:num w:numId="4" w16cid:durableId="711149877">
    <w:abstractNumId w:val="2"/>
  </w:num>
  <w:num w:numId="5" w16cid:durableId="1226988460">
    <w:abstractNumId w:val="15"/>
  </w:num>
  <w:num w:numId="6" w16cid:durableId="1834445701">
    <w:abstractNumId w:val="1"/>
  </w:num>
  <w:num w:numId="7" w16cid:durableId="1345666814">
    <w:abstractNumId w:val="12"/>
  </w:num>
  <w:num w:numId="8" w16cid:durableId="421948735">
    <w:abstractNumId w:val="10"/>
  </w:num>
  <w:num w:numId="9" w16cid:durableId="1167944345">
    <w:abstractNumId w:val="3"/>
  </w:num>
  <w:num w:numId="10" w16cid:durableId="2103140645">
    <w:abstractNumId w:val="11"/>
  </w:num>
  <w:num w:numId="11" w16cid:durableId="495732182">
    <w:abstractNumId w:val="8"/>
  </w:num>
  <w:num w:numId="12" w16cid:durableId="1948730732">
    <w:abstractNumId w:val="13"/>
  </w:num>
  <w:num w:numId="13" w16cid:durableId="409356584">
    <w:abstractNumId w:val="7"/>
  </w:num>
  <w:num w:numId="14" w16cid:durableId="1305350391">
    <w:abstractNumId w:val="4"/>
  </w:num>
  <w:num w:numId="15" w16cid:durableId="2117361006">
    <w:abstractNumId w:val="0"/>
  </w:num>
  <w:num w:numId="16" w16cid:durableId="15876878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5B"/>
    <w:rsid w:val="00005EC9"/>
    <w:rsid w:val="0009471F"/>
    <w:rsid w:val="000A3314"/>
    <w:rsid w:val="000B56AC"/>
    <w:rsid w:val="000D17D8"/>
    <w:rsid w:val="0011050A"/>
    <w:rsid w:val="00130C46"/>
    <w:rsid w:val="001E3558"/>
    <w:rsid w:val="001E74D8"/>
    <w:rsid w:val="00210127"/>
    <w:rsid w:val="002151BB"/>
    <w:rsid w:val="002634BB"/>
    <w:rsid w:val="00270A91"/>
    <w:rsid w:val="002A68EB"/>
    <w:rsid w:val="002B1C7C"/>
    <w:rsid w:val="002C73CF"/>
    <w:rsid w:val="002D7EF3"/>
    <w:rsid w:val="002F7A42"/>
    <w:rsid w:val="00303EF0"/>
    <w:rsid w:val="00322811"/>
    <w:rsid w:val="00323BF0"/>
    <w:rsid w:val="00360AEB"/>
    <w:rsid w:val="003943F4"/>
    <w:rsid w:val="003A64FA"/>
    <w:rsid w:val="003A7520"/>
    <w:rsid w:val="003E4DA6"/>
    <w:rsid w:val="003E7835"/>
    <w:rsid w:val="004367A2"/>
    <w:rsid w:val="004509AE"/>
    <w:rsid w:val="00474A34"/>
    <w:rsid w:val="00497183"/>
    <w:rsid w:val="004B08CE"/>
    <w:rsid w:val="00504BC4"/>
    <w:rsid w:val="005132BD"/>
    <w:rsid w:val="00523771"/>
    <w:rsid w:val="00532BFA"/>
    <w:rsid w:val="00592F72"/>
    <w:rsid w:val="005E1959"/>
    <w:rsid w:val="005F1FD9"/>
    <w:rsid w:val="006046E5"/>
    <w:rsid w:val="00625458"/>
    <w:rsid w:val="00626A48"/>
    <w:rsid w:val="0066152D"/>
    <w:rsid w:val="00682A98"/>
    <w:rsid w:val="006C0F2D"/>
    <w:rsid w:val="007032DB"/>
    <w:rsid w:val="00772A3C"/>
    <w:rsid w:val="00790DFB"/>
    <w:rsid w:val="007B510D"/>
    <w:rsid w:val="008719D2"/>
    <w:rsid w:val="0090245D"/>
    <w:rsid w:val="00903661"/>
    <w:rsid w:val="009055D9"/>
    <w:rsid w:val="00921357"/>
    <w:rsid w:val="00985B72"/>
    <w:rsid w:val="00995D72"/>
    <w:rsid w:val="009F1611"/>
    <w:rsid w:val="00A001F2"/>
    <w:rsid w:val="00A55225"/>
    <w:rsid w:val="00AF7566"/>
    <w:rsid w:val="00B012C5"/>
    <w:rsid w:val="00B107CC"/>
    <w:rsid w:val="00B2381E"/>
    <w:rsid w:val="00B36D30"/>
    <w:rsid w:val="00BB7AB0"/>
    <w:rsid w:val="00C35CCF"/>
    <w:rsid w:val="00C44A78"/>
    <w:rsid w:val="00C5534D"/>
    <w:rsid w:val="00C972EC"/>
    <w:rsid w:val="00CE11AD"/>
    <w:rsid w:val="00D41918"/>
    <w:rsid w:val="00D53051"/>
    <w:rsid w:val="00D60BEE"/>
    <w:rsid w:val="00D73622"/>
    <w:rsid w:val="00D87B44"/>
    <w:rsid w:val="00DB4EC4"/>
    <w:rsid w:val="00DB5076"/>
    <w:rsid w:val="00DB75FB"/>
    <w:rsid w:val="00DD4674"/>
    <w:rsid w:val="00DF1088"/>
    <w:rsid w:val="00DF607B"/>
    <w:rsid w:val="00E11C11"/>
    <w:rsid w:val="00E12A82"/>
    <w:rsid w:val="00E21CC6"/>
    <w:rsid w:val="00E31C08"/>
    <w:rsid w:val="00E4795B"/>
    <w:rsid w:val="00ED07BC"/>
    <w:rsid w:val="00F04650"/>
    <w:rsid w:val="00F34428"/>
    <w:rsid w:val="00F51B87"/>
    <w:rsid w:val="00FE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14:docId w14:val="45C0CE94"/>
  <w15:docId w15:val="{7615B763-EEA1-4BCE-881D-4E9B087E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after="120"/>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text">
    <w:name w:val="text"/>
    <w:basedOn w:val="Normal"/>
    <w:pPr>
      <w:spacing w:after="120"/>
    </w:pPr>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text">
    <w:name w:val="numbertext"/>
    <w:basedOn w:val="Normal"/>
    <w:pPr>
      <w:spacing w:after="120"/>
      <w:ind w:left="360" w:hanging="360"/>
    </w:pPr>
    <w:rPr>
      <w:sz w:val="24"/>
    </w:rPr>
  </w:style>
  <w:style w:type="paragraph" w:customStyle="1" w:styleId="Title1">
    <w:name w:val="Title1"/>
    <w:basedOn w:val="Normal"/>
    <w:rsid w:val="00592F72"/>
    <w:pPr>
      <w:pBdr>
        <w:bottom w:val="double" w:sz="6" w:space="5" w:color="auto"/>
      </w:pBdr>
      <w:spacing w:before="240" w:after="240"/>
      <w:jc w:val="center"/>
    </w:pPr>
    <w:rPr>
      <w:rFonts w:ascii="Arial" w:hAnsi="Arial"/>
      <w:b/>
      <w:sz w:val="28"/>
    </w:rPr>
  </w:style>
  <w:style w:type="character" w:customStyle="1" w:styleId="subbodytext">
    <w:name w:val="subbodytext"/>
    <w:basedOn w:val="DefaultParagraphFont"/>
    <w:rsid w:val="00270A91"/>
  </w:style>
  <w:style w:type="paragraph" w:styleId="ListParagraph">
    <w:name w:val="List Paragraph"/>
    <w:basedOn w:val="Normal"/>
    <w:uiPriority w:val="34"/>
    <w:qFormat/>
    <w:rsid w:val="00270A91"/>
    <w:pPr>
      <w:overflowPunct/>
      <w:autoSpaceDE/>
      <w:autoSpaceDN/>
      <w:adjustRightInd/>
      <w:ind w:left="720"/>
      <w:contextualSpacing/>
      <w:textAlignment w:val="auto"/>
    </w:pPr>
    <w:rPr>
      <w:rFonts w:ascii="Calibri" w:eastAsia="Calibri" w:hAnsi="Calibri"/>
      <w:sz w:val="22"/>
      <w:szCs w:val="22"/>
    </w:rPr>
  </w:style>
  <w:style w:type="paragraph" w:styleId="NormalWeb">
    <w:name w:val="Normal (Web)"/>
    <w:basedOn w:val="Normal"/>
    <w:uiPriority w:val="99"/>
    <w:unhideWhenUsed/>
    <w:rsid w:val="00005EC9"/>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144117">
      <w:bodyDiv w:val="1"/>
      <w:marLeft w:val="0"/>
      <w:marRight w:val="0"/>
      <w:marTop w:val="0"/>
      <w:marBottom w:val="0"/>
      <w:divBdr>
        <w:top w:val="none" w:sz="0" w:space="0" w:color="auto"/>
        <w:left w:val="none" w:sz="0" w:space="0" w:color="auto"/>
        <w:bottom w:val="none" w:sz="0" w:space="0" w:color="auto"/>
        <w:right w:val="none" w:sz="0" w:space="0" w:color="auto"/>
      </w:divBdr>
    </w:div>
    <w:div w:id="211474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RMS_x0020_Category xmlns="0def3715-83d5-4f03-9abc-0de0d34801bb">Administrative Procedures and Instructions (ACO-03-004)</ERMS_x0020_Category>
    <Category xmlns="0def3715-83d5-4f03-9abc-0de0d34801bb">Classifications</Category>
    <_dlc_DocId xmlns="dd90cae5-04f9-4ad6-b687-7fa19d8f306c">MAQEFJTUDN2N-1779147630-20</_dlc_DocId>
    <_dlc_DocIdUrl xmlns="dd90cae5-04f9-4ad6-b687-7fa19d8f306c">
      <Url>https://kc1.sharepoint.com/teams/DESa/CC/compensation/_layouts/15/DocIdRedir.aspx?ID=MAQEFJTUDN2N-1779147630-20</Url>
      <Description>MAQEFJTUDN2N-1779147630-20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BC4F3C4877FE4A989DB479B1508E0B" ma:contentTypeVersion="4" ma:contentTypeDescription="Create a new document." ma:contentTypeScope="" ma:versionID="a760a63ea309e8274f93fd1e2c5501a1">
  <xsd:schema xmlns:xsd="http://www.w3.org/2001/XMLSchema" xmlns:xs="http://www.w3.org/2001/XMLSchema" xmlns:p="http://schemas.microsoft.com/office/2006/metadata/properties" xmlns:ns2="0def3715-83d5-4f03-9abc-0de0d34801bb" xmlns:ns3="dd90cae5-04f9-4ad6-b687-7fa19d8f306c" targetNamespace="http://schemas.microsoft.com/office/2006/metadata/properties" ma:root="true" ma:fieldsID="a356e5999ac36412ec82644760307fb1" ns2:_="" ns3:_="">
    <xsd:import namespace="0def3715-83d5-4f03-9abc-0de0d34801bb"/>
    <xsd:import namespace="dd90cae5-04f9-4ad6-b687-7fa19d8f306c"/>
    <xsd:element name="properties">
      <xsd:complexType>
        <xsd:sequence>
          <xsd:element name="documentManagement">
            <xsd:complexType>
              <xsd:all>
                <xsd:element ref="ns2:Category"/>
                <xsd:element ref="ns2:ERMS_x0020_Category"/>
                <xsd:element ref="ns2:MediaServiceMetadata" minOccurs="0"/>
                <xsd:element ref="ns2:MediaServiceFast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f3715-83d5-4f03-9abc-0de0d34801bb" elementFormDefault="qualified">
    <xsd:import namespace="http://schemas.microsoft.com/office/2006/documentManagement/types"/>
    <xsd:import namespace="http://schemas.microsoft.com/office/infopath/2007/PartnerControls"/>
    <xsd:element name="Category" ma:index="8" ma:displayName="Category" ma:default="Classifications" ma:format="Dropdown" ma:internalName="Category">
      <xsd:simpleType>
        <xsd:restriction base="dms:Choice">
          <xsd:enumeration value="Classifications"/>
          <xsd:enumeration value="Pay Approvals"/>
          <xsd:enumeration value="Reclassifications"/>
          <xsd:enumeration value="Other"/>
        </xsd:restriction>
      </xsd:simpleType>
    </xsd:element>
    <xsd:element name="ERMS_x0020_Category" ma:index="9" ma:displayName="ERMS Category" ma:default="Administrative Procedures and Instructions (ACO-03-004)" ma:format="Dropdown" ma:internalName="ERMS_x0020_Category">
      <xsd:simpleType>
        <xsd:restriction base="dms:Choice">
          <xsd:enumeration value="Administrative Procedures and Instructions (ACO-03-004)"/>
          <xsd:enumeration value="Classification Specification History Files (PER-03-008)"/>
          <xsd:enumeration value="General Office Communications and Staff Meetings (ACO-01-001)"/>
          <xsd:enumeration value="Inter-Agency, Intra-Agency, Inter-Governmental, Inter-Local Agreements (CON-01-004)"/>
          <xsd:enumeration value="Ordinance, Motion and Resolution Development and Transmittal Files (LES-02-002)"/>
          <xsd:enumeration value="Policy Development Files (ACO-03-001)"/>
          <xsd:enumeration value="Position Classifications (PER-03-001)"/>
          <xsd:enumeration value="Position Reclassifications (PER-03-002)"/>
          <xsd:enumeration value="Project Files (ACO-02-001)"/>
          <xsd:enumeration value="Public Records Act Requests (INF-01-002)"/>
          <xsd:enumeration value="Reporting/Filing (Mandatory) - Agency Management (ACO-02-004)"/>
          <xsd:enumeration value="Research/Program Reports, Studies, Surveys, Models and Analyses (ACO-02-002)"/>
          <xsd:enumeration value="Work Plans (ACO-04-004)"/>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0cae5-04f9-4ad6-b687-7fa19d8f306c"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FF987E-2145-4C1A-8A28-D18A11AEA8F2}">
  <ds:schemaRefs>
    <ds:schemaRef ds:uri="0def3715-83d5-4f03-9abc-0de0d34801b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dd90cae5-04f9-4ad6-b687-7fa19d8f306c"/>
  </ds:schemaRefs>
</ds:datastoreItem>
</file>

<file path=customXml/itemProps2.xml><?xml version="1.0" encoding="utf-8"?>
<ds:datastoreItem xmlns:ds="http://schemas.openxmlformats.org/officeDocument/2006/customXml" ds:itemID="{F1D09F7C-61A0-4B7C-BA82-09E09A822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f3715-83d5-4f03-9abc-0de0d34801bb"/>
    <ds:schemaRef ds:uri="dd90cae5-04f9-4ad6-b687-7fa19d8f3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8456B5-B7A8-4C63-8F09-F91E5391EF6C}">
  <ds:schemaRefs>
    <ds:schemaRef ds:uri="http://schemas.openxmlformats.org/officeDocument/2006/bibliography"/>
  </ds:schemaRefs>
</ds:datastoreItem>
</file>

<file path=customXml/itemProps4.xml><?xml version="1.0" encoding="utf-8"?>
<ds:datastoreItem xmlns:ds="http://schemas.openxmlformats.org/officeDocument/2006/customXml" ds:itemID="{5952DC4D-1EE9-4965-B028-F9A8A175D70E}">
  <ds:schemaRefs>
    <ds:schemaRef ds:uri="http://schemas.microsoft.com/sharepoint/events"/>
  </ds:schemaRefs>
</ds:datastoreItem>
</file>

<file path=customXml/itemProps5.xml><?xml version="1.0" encoding="utf-8"?>
<ds:datastoreItem xmlns:ds="http://schemas.openxmlformats.org/officeDocument/2006/customXml" ds:itemID="{37BFC972-697C-4FDE-BA26-CF2E8F220E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827</Words>
  <Characters>4714</Characters>
  <Application>Microsoft Office Word</Application>
  <DocSecurity>6</DocSecurity>
  <Lines>39</Lines>
  <Paragraphs>11</Paragraphs>
  <ScaleCrop>false</ScaleCrop>
  <HeadingPairs>
    <vt:vector size="2" baseType="variant">
      <vt:variant>
        <vt:lpstr>Title</vt:lpstr>
      </vt:variant>
      <vt:variant>
        <vt:i4>1</vt:i4>
      </vt:variant>
    </vt:vector>
  </HeadingPairs>
  <TitlesOfParts>
    <vt:vector size="1" baseType="lpstr">
      <vt:lpstr>Classification Specification Template</vt:lpstr>
    </vt:vector>
  </TitlesOfParts>
  <Company>King County</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Specification Template</dc:title>
  <dc:subject>CLASSIFICATION SPECIFICATION</dc:subject>
  <dc:creator>Aswin, Andrea</dc:creator>
  <cp:keywords>STRATEGIC PROGRAMS MANAGER</cp:keywords>
  <dc:description>SPEC NUMBER</dc:description>
  <cp:lastModifiedBy>Aswin, Andrea</cp:lastModifiedBy>
  <cp:revision>2</cp:revision>
  <cp:lastPrinted>2007-08-06T17:18:00Z</cp:lastPrinted>
  <dcterms:created xsi:type="dcterms:W3CDTF">2025-12-30T19:34:00Z</dcterms:created>
  <dcterms:modified xsi:type="dcterms:W3CDTF">2025-12-30T19:34:00Z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number">
    <vt:lpwstr>2334100</vt:lpwstr>
  </property>
  <property fmtid="{D5CDD505-2E9C-101B-9397-08002B2CF9AE}" pid="3" name="ContentTypeId">
    <vt:lpwstr>0x0101009CBC4F3C4877FE4A989DB479B1508E0B</vt:lpwstr>
  </property>
  <property fmtid="{D5CDD505-2E9C-101B-9397-08002B2CF9AE}" pid="4" name="_dlc_DocIdItemGuid">
    <vt:lpwstr>71c2841e-cdeb-4a6c-b87b-194440a3e01d</vt:lpwstr>
  </property>
  <property fmtid="{D5CDD505-2E9C-101B-9397-08002B2CF9AE}" pid="5" name="GrammarlyDocumentId">
    <vt:lpwstr>8bec4c8e-3c5c-421a-a081-e113f24c1c6b</vt:lpwstr>
  </property>
</Properties>
</file>