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4300" w14:textId="77777777" w:rsidR="00126183" w:rsidRPr="00837E8E" w:rsidRDefault="00E64AB9" w:rsidP="00837E8E">
      <w:pPr>
        <w:pStyle w:val="BodyText"/>
        <w:contextualSpacing/>
        <w:jc w:val="center"/>
        <w:rPr>
          <w:b/>
          <w:bCs/>
          <w:lang w:val="es-ES_tradnl"/>
        </w:rPr>
      </w:pPr>
      <w:bookmarkStart w:id="0" w:name="MOTION_AND_ORDER_TO_WAIVE_FILING_FEES"/>
      <w:bookmarkEnd w:id="0"/>
      <w:r w:rsidRPr="00837E8E">
        <w:rPr>
          <w:b/>
          <w:bCs/>
          <w:lang w:val="es-ES_tradnl"/>
        </w:rPr>
        <w:t>INSTRUCCIONES PARA</w:t>
      </w:r>
    </w:p>
    <w:p w14:paraId="5C7E4301" w14:textId="77777777" w:rsidR="00126183" w:rsidRPr="00694920" w:rsidRDefault="00E64AB9" w:rsidP="00837E8E">
      <w:pPr>
        <w:pStyle w:val="Heading1"/>
        <w:ind w:left="0"/>
        <w:contextualSpacing/>
        <w:jc w:val="center"/>
        <w:rPr>
          <w:lang w:val="es-ES_tradnl"/>
        </w:rPr>
      </w:pPr>
      <w:r w:rsidRPr="00837E8E">
        <w:rPr>
          <w:lang w:val="es-ES_tradnl"/>
        </w:rPr>
        <w:t xml:space="preserve">MOCIÓN Y ORDEN </w:t>
      </w:r>
      <w:r w:rsidRPr="00694920">
        <w:rPr>
          <w:lang w:val="es-ES_tradnl"/>
        </w:rPr>
        <w:t>DE EXENCIÓN DE CUOTAS DE TRAMITACIÓN</w:t>
      </w:r>
    </w:p>
    <w:p w14:paraId="5C7E4302" w14:textId="77777777" w:rsidR="00126183" w:rsidRPr="00694920" w:rsidRDefault="00126183" w:rsidP="00837E8E">
      <w:pPr>
        <w:pStyle w:val="BodyText"/>
        <w:contextualSpacing/>
        <w:rPr>
          <w:b/>
          <w:lang w:val="es-ES_tradnl"/>
        </w:rPr>
      </w:pPr>
    </w:p>
    <w:p w14:paraId="5C7E4303" w14:textId="77777777" w:rsidR="00126183" w:rsidRPr="00694920" w:rsidRDefault="00E64AB9" w:rsidP="00837E8E">
      <w:pPr>
        <w:pStyle w:val="BodyText"/>
        <w:contextualSpacing/>
        <w:rPr>
          <w:lang w:val="es-ES_tradnl"/>
        </w:rPr>
      </w:pPr>
      <w:r w:rsidRPr="00694920">
        <w:rPr>
          <w:lang w:val="es-ES_tradnl"/>
        </w:rPr>
        <w:t>Si cree que no puede pagar la cuota civil y los recargos relacionados en su caso judicial de derecho civil o de familia, puede solicitar que el tribunal lo anule. Para determinar si debe eximirse de la cuota de tramitación, el Tribunal considerará su capacidad de pago. Al hacerlo, el tribunal puede aplicar una tabla de disponibilidad financiera basada en el 125 % del Estándar Federal de Pobreza (ver más abajo). Si hay una petición conjunta en un asunto de derecho de familia, sus ingresos se sumarán a los ingresos de su cónyuge para determinar la elegibilidad para una exención de cuotas.</w:t>
      </w:r>
    </w:p>
    <w:p w14:paraId="5C7E4304" w14:textId="77777777" w:rsidR="00126183" w:rsidRPr="00694920" w:rsidRDefault="00126183" w:rsidP="00837E8E">
      <w:pPr>
        <w:pStyle w:val="BodyText"/>
        <w:contextualSpacing/>
        <w:rPr>
          <w:lang w:val="es-ES_tradnl"/>
        </w:rPr>
      </w:pPr>
    </w:p>
    <w:p w14:paraId="5C7E4305" w14:textId="77777777" w:rsidR="00126183" w:rsidRPr="00694920" w:rsidRDefault="00E64AB9" w:rsidP="00837E8E">
      <w:pPr>
        <w:pStyle w:val="BodyText"/>
        <w:contextualSpacing/>
        <w:rPr>
          <w:lang w:val="es-ES_tradnl"/>
        </w:rPr>
      </w:pPr>
      <w:r w:rsidRPr="00694920">
        <w:rPr>
          <w:lang w:val="es-ES_tradnl"/>
        </w:rPr>
        <w:t>Sin embargo, el tribunal también puede dispensarlo del requisito de pago de las cuotas si sus ingresos están por encima de los umbrales que se indican a continuación, pero determina que tiene gastos básicos recurrentes que le impiden pagar las cuotas, o puede dispensarlo de las cuotas si determina que existen otras circunstancias imperiosas para hacerlo. Si está representado por un proveedor de servicios legales calificado, ese proveedor puede obtener una exención de cuotas mediante la presentación de los formularios designados para su uso.</w:t>
      </w:r>
    </w:p>
    <w:p w14:paraId="5C7E4306" w14:textId="77777777" w:rsidR="00126183" w:rsidRPr="00694920" w:rsidRDefault="00126183" w:rsidP="00837E8E">
      <w:pPr>
        <w:pStyle w:val="BodyText"/>
        <w:contextualSpacing/>
        <w:rPr>
          <w:sz w:val="17"/>
          <w:lang w:val="es-ES_tradn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4" w:type="dxa"/>
          <w:right w:w="144" w:type="dxa"/>
        </w:tblCellMar>
        <w:tblLook w:val="01E0" w:firstRow="1" w:lastRow="1" w:firstColumn="1" w:lastColumn="1" w:noHBand="0" w:noVBand="0"/>
      </w:tblPr>
      <w:tblGrid>
        <w:gridCol w:w="1339"/>
        <w:gridCol w:w="1062"/>
        <w:gridCol w:w="1062"/>
        <w:gridCol w:w="1062"/>
        <w:gridCol w:w="1062"/>
        <w:gridCol w:w="1062"/>
        <w:gridCol w:w="1062"/>
        <w:gridCol w:w="1062"/>
        <w:gridCol w:w="1062"/>
        <w:gridCol w:w="1253"/>
      </w:tblGrid>
      <w:tr w:rsidR="00126183" w14:paraId="5C7E431B" w14:textId="77777777" w:rsidTr="00A9676E">
        <w:tc>
          <w:tcPr>
            <w:tcW w:w="671" w:type="pct"/>
            <w:shd w:val="clear" w:color="auto" w:fill="E6E6E6"/>
            <w:vAlign w:val="center"/>
          </w:tcPr>
          <w:p w14:paraId="5C7E4308" w14:textId="77777777" w:rsidR="00126183" w:rsidRDefault="00E64AB9" w:rsidP="00115C2F">
            <w:pPr>
              <w:pStyle w:val="TableParagraph"/>
              <w:contextualSpacing/>
              <w:rPr>
                <w:rFonts w:ascii="Calibri"/>
                <w:b/>
              </w:rPr>
            </w:pPr>
            <w:proofErr w:type="spellStart"/>
            <w:r>
              <w:rPr>
                <w:rFonts w:ascii="Calibri" w:hAnsi="Calibri"/>
                <w:b/>
                <w:bCs/>
              </w:rPr>
              <w:t>Miembros</w:t>
            </w:r>
            <w:proofErr w:type="spellEnd"/>
            <w:r>
              <w:rPr>
                <w:rFonts w:ascii="Calibri" w:hAnsi="Calibri"/>
                <w:b/>
                <w:bCs/>
              </w:rPr>
              <w:t xml:space="preserve"> de la </w:t>
            </w:r>
            <w:proofErr w:type="spellStart"/>
            <w:r>
              <w:rPr>
                <w:rFonts w:ascii="Calibri" w:hAnsi="Calibri"/>
                <w:b/>
                <w:bCs/>
              </w:rPr>
              <w:t>familia</w:t>
            </w:r>
            <w:proofErr w:type="spellEnd"/>
          </w:p>
        </w:tc>
        <w:tc>
          <w:tcPr>
            <w:tcW w:w="456" w:type="pct"/>
            <w:shd w:val="clear" w:color="auto" w:fill="E6E6E6"/>
            <w:vAlign w:val="center"/>
          </w:tcPr>
          <w:p w14:paraId="5C7E430A" w14:textId="77777777" w:rsidR="00126183" w:rsidRDefault="00E64AB9" w:rsidP="00571850">
            <w:pPr>
              <w:pStyle w:val="TableParagraph"/>
              <w:contextualSpacing/>
              <w:jc w:val="center"/>
              <w:rPr>
                <w:rFonts w:ascii="Calibri"/>
                <w:b/>
              </w:rPr>
            </w:pPr>
            <w:r>
              <w:rPr>
                <w:rFonts w:ascii="Calibri" w:hAnsi="Calibri"/>
                <w:b/>
                <w:bCs/>
              </w:rPr>
              <w:t>1</w:t>
            </w:r>
          </w:p>
        </w:tc>
        <w:tc>
          <w:tcPr>
            <w:tcW w:w="464" w:type="pct"/>
            <w:shd w:val="clear" w:color="auto" w:fill="E6E6E6"/>
            <w:vAlign w:val="center"/>
          </w:tcPr>
          <w:p w14:paraId="5C7E430C" w14:textId="77777777" w:rsidR="00126183" w:rsidRDefault="00E64AB9" w:rsidP="00571850">
            <w:pPr>
              <w:pStyle w:val="TableParagraph"/>
              <w:contextualSpacing/>
              <w:jc w:val="center"/>
              <w:rPr>
                <w:rFonts w:ascii="Calibri"/>
                <w:b/>
              </w:rPr>
            </w:pPr>
            <w:r>
              <w:rPr>
                <w:rFonts w:ascii="Calibri" w:hAnsi="Calibri"/>
                <w:b/>
                <w:bCs/>
              </w:rPr>
              <w:t>2</w:t>
            </w:r>
          </w:p>
        </w:tc>
        <w:tc>
          <w:tcPr>
            <w:tcW w:w="464" w:type="pct"/>
            <w:shd w:val="clear" w:color="auto" w:fill="E6E6E6"/>
            <w:vAlign w:val="center"/>
          </w:tcPr>
          <w:p w14:paraId="5C7E430E" w14:textId="77777777" w:rsidR="00126183" w:rsidRDefault="00E64AB9" w:rsidP="00571850">
            <w:pPr>
              <w:pStyle w:val="TableParagraph"/>
              <w:contextualSpacing/>
              <w:jc w:val="center"/>
              <w:rPr>
                <w:rFonts w:ascii="Calibri"/>
                <w:b/>
              </w:rPr>
            </w:pPr>
            <w:r>
              <w:rPr>
                <w:rFonts w:ascii="Calibri" w:hAnsi="Calibri"/>
                <w:b/>
                <w:bCs/>
              </w:rPr>
              <w:t>3</w:t>
            </w:r>
          </w:p>
        </w:tc>
        <w:tc>
          <w:tcPr>
            <w:tcW w:w="464" w:type="pct"/>
            <w:shd w:val="clear" w:color="auto" w:fill="E6E6E6"/>
            <w:vAlign w:val="center"/>
          </w:tcPr>
          <w:p w14:paraId="5C7E4310" w14:textId="77777777" w:rsidR="00126183" w:rsidRDefault="00E64AB9" w:rsidP="00571850">
            <w:pPr>
              <w:pStyle w:val="TableParagraph"/>
              <w:contextualSpacing/>
              <w:jc w:val="center"/>
              <w:rPr>
                <w:rFonts w:ascii="Calibri"/>
                <w:b/>
              </w:rPr>
            </w:pPr>
            <w:r>
              <w:rPr>
                <w:rFonts w:ascii="Calibri" w:hAnsi="Calibri"/>
                <w:b/>
                <w:bCs/>
              </w:rPr>
              <w:t>4</w:t>
            </w:r>
          </w:p>
        </w:tc>
        <w:tc>
          <w:tcPr>
            <w:tcW w:w="464" w:type="pct"/>
            <w:shd w:val="clear" w:color="auto" w:fill="E6E6E6"/>
            <w:vAlign w:val="center"/>
          </w:tcPr>
          <w:p w14:paraId="5C7E4312" w14:textId="77777777" w:rsidR="00126183" w:rsidRDefault="00E64AB9" w:rsidP="00571850">
            <w:pPr>
              <w:pStyle w:val="TableParagraph"/>
              <w:contextualSpacing/>
              <w:jc w:val="center"/>
              <w:rPr>
                <w:rFonts w:ascii="Calibri"/>
                <w:b/>
              </w:rPr>
            </w:pPr>
            <w:r>
              <w:rPr>
                <w:rFonts w:ascii="Calibri" w:hAnsi="Calibri"/>
                <w:b/>
                <w:bCs/>
              </w:rPr>
              <w:t>5</w:t>
            </w:r>
          </w:p>
        </w:tc>
        <w:tc>
          <w:tcPr>
            <w:tcW w:w="464" w:type="pct"/>
            <w:shd w:val="clear" w:color="auto" w:fill="E6E6E6"/>
            <w:vAlign w:val="center"/>
          </w:tcPr>
          <w:p w14:paraId="5C7E4314" w14:textId="77777777" w:rsidR="00126183" w:rsidRDefault="00E64AB9" w:rsidP="00571850">
            <w:pPr>
              <w:pStyle w:val="TableParagraph"/>
              <w:contextualSpacing/>
              <w:jc w:val="center"/>
              <w:rPr>
                <w:rFonts w:ascii="Calibri"/>
                <w:b/>
              </w:rPr>
            </w:pPr>
            <w:r>
              <w:rPr>
                <w:rFonts w:ascii="Calibri" w:hAnsi="Calibri"/>
                <w:b/>
                <w:bCs/>
              </w:rPr>
              <w:t>6</w:t>
            </w:r>
          </w:p>
        </w:tc>
        <w:tc>
          <w:tcPr>
            <w:tcW w:w="464" w:type="pct"/>
            <w:shd w:val="clear" w:color="auto" w:fill="E6E6E6"/>
            <w:vAlign w:val="center"/>
          </w:tcPr>
          <w:p w14:paraId="5C7E4316" w14:textId="77777777" w:rsidR="00126183" w:rsidRDefault="00E64AB9" w:rsidP="00571850">
            <w:pPr>
              <w:pStyle w:val="TableParagraph"/>
              <w:contextualSpacing/>
              <w:jc w:val="center"/>
              <w:rPr>
                <w:rFonts w:ascii="Calibri"/>
                <w:b/>
              </w:rPr>
            </w:pPr>
            <w:r>
              <w:rPr>
                <w:rFonts w:ascii="Calibri" w:hAnsi="Calibri"/>
                <w:b/>
                <w:bCs/>
              </w:rPr>
              <w:t>7</w:t>
            </w:r>
          </w:p>
        </w:tc>
        <w:tc>
          <w:tcPr>
            <w:tcW w:w="456" w:type="pct"/>
            <w:shd w:val="clear" w:color="auto" w:fill="E6E6E6"/>
            <w:vAlign w:val="center"/>
          </w:tcPr>
          <w:p w14:paraId="5C7E4318" w14:textId="77777777" w:rsidR="00126183" w:rsidRDefault="00E64AB9" w:rsidP="00571850">
            <w:pPr>
              <w:pStyle w:val="TableParagraph"/>
              <w:contextualSpacing/>
              <w:jc w:val="center"/>
              <w:rPr>
                <w:rFonts w:ascii="Calibri"/>
                <w:b/>
              </w:rPr>
            </w:pPr>
            <w:r>
              <w:rPr>
                <w:rFonts w:ascii="Calibri" w:hAnsi="Calibri"/>
                <w:b/>
                <w:bCs/>
              </w:rPr>
              <w:t>8</w:t>
            </w:r>
          </w:p>
        </w:tc>
        <w:tc>
          <w:tcPr>
            <w:tcW w:w="632" w:type="pct"/>
            <w:shd w:val="clear" w:color="auto" w:fill="E6E6E6"/>
            <w:vAlign w:val="center"/>
          </w:tcPr>
          <w:p w14:paraId="5C7E431A" w14:textId="77777777" w:rsidR="00126183" w:rsidRDefault="00E64AB9" w:rsidP="00115C2F">
            <w:pPr>
              <w:pStyle w:val="TableParagraph"/>
              <w:contextualSpacing/>
              <w:rPr>
                <w:rFonts w:ascii="Calibri"/>
                <w:b/>
              </w:rPr>
            </w:pPr>
            <w:r>
              <w:rPr>
                <w:rFonts w:ascii="Calibri" w:hAnsi="Calibri"/>
                <w:b/>
                <w:bCs/>
              </w:rPr>
              <w:t xml:space="preserve">9 o </w:t>
            </w:r>
            <w:proofErr w:type="spellStart"/>
            <w:r>
              <w:rPr>
                <w:rFonts w:ascii="Calibri" w:hAnsi="Calibri"/>
                <w:b/>
                <w:bCs/>
              </w:rPr>
              <w:t>más</w:t>
            </w:r>
            <w:proofErr w:type="spellEnd"/>
          </w:p>
        </w:tc>
      </w:tr>
      <w:tr w:rsidR="00ED371E" w:rsidRPr="00CF0E1A" w14:paraId="5C7E4338" w14:textId="77777777" w:rsidTr="00A9676E">
        <w:tc>
          <w:tcPr>
            <w:tcW w:w="671" w:type="pct"/>
            <w:shd w:val="clear" w:color="auto" w:fill="E6E6E6"/>
            <w:vAlign w:val="center"/>
          </w:tcPr>
          <w:p w14:paraId="5C7E431D" w14:textId="77777777" w:rsidR="00ED371E" w:rsidRDefault="00ED371E" w:rsidP="00ED371E">
            <w:pPr>
              <w:pStyle w:val="TableParagraph"/>
              <w:contextualSpacing/>
              <w:rPr>
                <w:rFonts w:ascii="Calibri"/>
                <w:b/>
              </w:rPr>
            </w:pPr>
            <w:proofErr w:type="spellStart"/>
            <w:r>
              <w:rPr>
                <w:rFonts w:ascii="Calibri" w:hAnsi="Calibri"/>
                <w:b/>
                <w:bCs/>
              </w:rPr>
              <w:t>Ingreso</w:t>
            </w:r>
            <w:proofErr w:type="spellEnd"/>
            <w:r>
              <w:rPr>
                <w:rFonts w:ascii="Calibri" w:hAnsi="Calibri"/>
                <w:b/>
                <w:bCs/>
              </w:rPr>
              <w:t xml:space="preserve"> </w:t>
            </w:r>
            <w:proofErr w:type="spellStart"/>
            <w:r>
              <w:rPr>
                <w:rFonts w:ascii="Calibri" w:hAnsi="Calibri"/>
                <w:b/>
                <w:bCs/>
              </w:rPr>
              <w:t>mensual</w:t>
            </w:r>
            <w:proofErr w:type="spellEnd"/>
            <w:r>
              <w:rPr>
                <w:rFonts w:ascii="Calibri" w:hAnsi="Calibri"/>
                <w:b/>
                <w:bCs/>
              </w:rPr>
              <w:t xml:space="preserve"> </w:t>
            </w:r>
            <w:proofErr w:type="spellStart"/>
            <w:r>
              <w:rPr>
                <w:rFonts w:ascii="Calibri" w:hAnsi="Calibri"/>
                <w:b/>
                <w:bCs/>
              </w:rPr>
              <w:t>máximo</w:t>
            </w:r>
            <w:proofErr w:type="spellEnd"/>
            <w:r>
              <w:rPr>
                <w:rFonts w:ascii="Calibri" w:hAnsi="Calibri"/>
                <w:b/>
                <w:bCs/>
              </w:rPr>
              <w:t>*</w:t>
            </w:r>
          </w:p>
        </w:tc>
        <w:tc>
          <w:tcPr>
            <w:tcW w:w="456" w:type="pct"/>
          </w:tcPr>
          <w:p w14:paraId="198C7E35" w14:textId="77777777" w:rsidR="00ED371E" w:rsidRDefault="00ED371E" w:rsidP="00ED371E">
            <w:pPr>
              <w:pStyle w:val="paragraph"/>
              <w:spacing w:before="0" w:beforeAutospacing="0" w:after="0" w:afterAutospacing="0"/>
              <w:textAlignment w:val="baseline"/>
              <w:divId w:val="1642880407"/>
              <w:rPr>
                <w:rFonts w:ascii="Segoe UI" w:hAnsi="Segoe UI" w:cs="Segoe UI"/>
                <w:sz w:val="18"/>
                <w:szCs w:val="18"/>
              </w:rPr>
            </w:pPr>
            <w:r>
              <w:rPr>
                <w:rStyle w:val="eop"/>
                <w:rFonts w:ascii="Calibri" w:eastAsia="Arial" w:hAnsi="Calibri" w:cs="Calibri"/>
                <w:color w:val="000000"/>
                <w:sz w:val="22"/>
                <w:szCs w:val="22"/>
              </w:rPr>
              <w:t> </w:t>
            </w:r>
          </w:p>
          <w:p w14:paraId="3DD28328" w14:textId="77777777" w:rsidR="00ED371E" w:rsidRDefault="00ED371E" w:rsidP="00ED371E">
            <w:pPr>
              <w:pStyle w:val="paragraph"/>
              <w:spacing w:before="0" w:beforeAutospacing="0" w:after="0" w:afterAutospacing="0"/>
              <w:textAlignment w:val="baseline"/>
              <w:divId w:val="292559757"/>
              <w:rPr>
                <w:rFonts w:ascii="Segoe UI" w:hAnsi="Segoe UI" w:cs="Segoe UI"/>
                <w:sz w:val="18"/>
                <w:szCs w:val="18"/>
              </w:rPr>
            </w:pPr>
            <w:r>
              <w:rPr>
                <w:rStyle w:val="eop"/>
                <w:rFonts w:ascii="Calibri" w:eastAsia="Arial" w:hAnsi="Calibri" w:cs="Calibri"/>
                <w:color w:val="000000"/>
                <w:sz w:val="22"/>
                <w:szCs w:val="22"/>
              </w:rPr>
              <w:t> </w:t>
            </w:r>
          </w:p>
          <w:p w14:paraId="5C7E4320" w14:textId="4FFE6F72" w:rsidR="00ED371E" w:rsidRDefault="00ED371E" w:rsidP="00ED371E">
            <w:pPr>
              <w:pStyle w:val="TableParagraph"/>
              <w:contextualSpacing/>
              <w:jc w:val="center"/>
              <w:rPr>
                <w:rFonts w:ascii="Calibri"/>
              </w:rPr>
            </w:pPr>
            <w:r>
              <w:rPr>
                <w:rStyle w:val="normaltextrun"/>
                <w:rFonts w:ascii="Calibri" w:hAnsi="Calibri" w:cs="Calibri"/>
                <w:color w:val="333333"/>
              </w:rPr>
              <w:t>$1,630</w:t>
            </w:r>
            <w:r>
              <w:rPr>
                <w:rStyle w:val="eop"/>
                <w:rFonts w:ascii="Calibri" w:hAnsi="Calibri" w:cs="Calibri"/>
                <w:color w:val="333333"/>
              </w:rPr>
              <w:t> </w:t>
            </w:r>
          </w:p>
        </w:tc>
        <w:tc>
          <w:tcPr>
            <w:tcW w:w="464" w:type="pct"/>
          </w:tcPr>
          <w:p w14:paraId="5DFA8B5A" w14:textId="77777777" w:rsidR="00ED371E" w:rsidRDefault="00ED371E" w:rsidP="00ED371E">
            <w:pPr>
              <w:pStyle w:val="paragraph"/>
              <w:spacing w:before="0" w:beforeAutospacing="0" w:after="0" w:afterAutospacing="0"/>
              <w:textAlignment w:val="baseline"/>
              <w:divId w:val="604465340"/>
              <w:rPr>
                <w:rFonts w:ascii="Segoe UI" w:hAnsi="Segoe UI" w:cs="Segoe UI"/>
                <w:sz w:val="18"/>
                <w:szCs w:val="18"/>
              </w:rPr>
            </w:pPr>
            <w:r>
              <w:rPr>
                <w:rStyle w:val="eop"/>
                <w:rFonts w:ascii="Calibri" w:eastAsia="Arial" w:hAnsi="Calibri" w:cs="Calibri"/>
                <w:color w:val="000000"/>
                <w:sz w:val="22"/>
                <w:szCs w:val="22"/>
              </w:rPr>
              <w:t> </w:t>
            </w:r>
          </w:p>
          <w:p w14:paraId="6FC0F0CE" w14:textId="77777777" w:rsidR="00ED371E" w:rsidRDefault="00ED371E" w:rsidP="00ED371E">
            <w:pPr>
              <w:pStyle w:val="paragraph"/>
              <w:spacing w:before="0" w:beforeAutospacing="0" w:after="0" w:afterAutospacing="0"/>
              <w:textAlignment w:val="baseline"/>
              <w:divId w:val="488441553"/>
              <w:rPr>
                <w:rFonts w:ascii="Segoe UI" w:hAnsi="Segoe UI" w:cs="Segoe UI"/>
                <w:sz w:val="18"/>
                <w:szCs w:val="18"/>
              </w:rPr>
            </w:pPr>
            <w:r>
              <w:rPr>
                <w:rStyle w:val="eop"/>
                <w:rFonts w:ascii="Calibri" w:eastAsia="Arial" w:hAnsi="Calibri" w:cs="Calibri"/>
                <w:color w:val="000000"/>
                <w:sz w:val="22"/>
                <w:szCs w:val="22"/>
              </w:rPr>
              <w:t> </w:t>
            </w:r>
          </w:p>
          <w:p w14:paraId="5C7E4323" w14:textId="57E30B5E" w:rsidR="00ED371E" w:rsidRDefault="00ED371E" w:rsidP="00ED371E">
            <w:pPr>
              <w:pStyle w:val="TableParagraph"/>
              <w:contextualSpacing/>
              <w:jc w:val="center"/>
              <w:rPr>
                <w:rFonts w:ascii="Calibri"/>
              </w:rPr>
            </w:pPr>
            <w:r>
              <w:rPr>
                <w:rStyle w:val="normaltextrun"/>
                <w:rFonts w:ascii="Calibri" w:hAnsi="Calibri" w:cs="Calibri"/>
                <w:color w:val="333333"/>
              </w:rPr>
              <w:t>$2,203</w:t>
            </w:r>
            <w:r>
              <w:rPr>
                <w:rStyle w:val="eop"/>
                <w:rFonts w:ascii="Calibri" w:hAnsi="Calibri" w:cs="Calibri"/>
                <w:color w:val="333333"/>
              </w:rPr>
              <w:t> </w:t>
            </w:r>
          </w:p>
        </w:tc>
        <w:tc>
          <w:tcPr>
            <w:tcW w:w="464" w:type="pct"/>
          </w:tcPr>
          <w:p w14:paraId="483738D3" w14:textId="77777777" w:rsidR="00ED371E" w:rsidRDefault="00ED371E" w:rsidP="00ED371E">
            <w:pPr>
              <w:pStyle w:val="paragraph"/>
              <w:spacing w:before="0" w:beforeAutospacing="0" w:after="0" w:afterAutospacing="0"/>
              <w:textAlignment w:val="baseline"/>
              <w:divId w:val="523834051"/>
              <w:rPr>
                <w:rFonts w:ascii="Segoe UI" w:hAnsi="Segoe UI" w:cs="Segoe UI"/>
                <w:sz w:val="18"/>
                <w:szCs w:val="18"/>
              </w:rPr>
            </w:pPr>
            <w:r>
              <w:rPr>
                <w:rStyle w:val="eop"/>
                <w:rFonts w:ascii="Calibri" w:eastAsia="Arial" w:hAnsi="Calibri" w:cs="Calibri"/>
                <w:color w:val="000000"/>
                <w:sz w:val="22"/>
                <w:szCs w:val="22"/>
              </w:rPr>
              <w:t> </w:t>
            </w:r>
          </w:p>
          <w:p w14:paraId="098BD0A5" w14:textId="77777777" w:rsidR="00ED371E" w:rsidRDefault="00ED371E" w:rsidP="00ED371E">
            <w:pPr>
              <w:pStyle w:val="paragraph"/>
              <w:spacing w:before="0" w:beforeAutospacing="0" w:after="0" w:afterAutospacing="0"/>
              <w:textAlignment w:val="baseline"/>
              <w:divId w:val="1087847202"/>
              <w:rPr>
                <w:rFonts w:ascii="Segoe UI" w:hAnsi="Segoe UI" w:cs="Segoe UI"/>
                <w:sz w:val="18"/>
                <w:szCs w:val="18"/>
              </w:rPr>
            </w:pPr>
            <w:r>
              <w:rPr>
                <w:rStyle w:val="eop"/>
                <w:rFonts w:ascii="Calibri" w:eastAsia="Arial" w:hAnsi="Calibri" w:cs="Calibri"/>
                <w:color w:val="000000"/>
                <w:sz w:val="22"/>
                <w:szCs w:val="22"/>
              </w:rPr>
              <w:t> </w:t>
            </w:r>
          </w:p>
          <w:p w14:paraId="5C7E4326" w14:textId="53D00330" w:rsidR="00ED371E" w:rsidRDefault="00ED371E" w:rsidP="00ED371E">
            <w:pPr>
              <w:pStyle w:val="TableParagraph"/>
              <w:contextualSpacing/>
              <w:jc w:val="center"/>
              <w:rPr>
                <w:rFonts w:ascii="Calibri"/>
              </w:rPr>
            </w:pPr>
            <w:r>
              <w:rPr>
                <w:rStyle w:val="normaltextrun"/>
                <w:rFonts w:ascii="Calibri" w:hAnsi="Calibri" w:cs="Calibri"/>
                <w:color w:val="333333"/>
              </w:rPr>
              <w:t>$2,776</w:t>
            </w:r>
            <w:r>
              <w:rPr>
                <w:rStyle w:val="eop"/>
                <w:rFonts w:ascii="Calibri" w:hAnsi="Calibri" w:cs="Calibri"/>
                <w:color w:val="333333"/>
              </w:rPr>
              <w:t> </w:t>
            </w:r>
          </w:p>
        </w:tc>
        <w:tc>
          <w:tcPr>
            <w:tcW w:w="464" w:type="pct"/>
          </w:tcPr>
          <w:p w14:paraId="073D5E78" w14:textId="77777777" w:rsidR="00ED371E" w:rsidRDefault="00ED371E" w:rsidP="00ED371E">
            <w:pPr>
              <w:pStyle w:val="paragraph"/>
              <w:spacing w:before="0" w:beforeAutospacing="0" w:after="0" w:afterAutospacing="0"/>
              <w:textAlignment w:val="baseline"/>
              <w:divId w:val="40252448"/>
              <w:rPr>
                <w:rFonts w:ascii="Segoe UI" w:hAnsi="Segoe UI" w:cs="Segoe UI"/>
                <w:sz w:val="18"/>
                <w:szCs w:val="18"/>
              </w:rPr>
            </w:pPr>
            <w:r>
              <w:rPr>
                <w:rStyle w:val="eop"/>
                <w:rFonts w:ascii="Calibri" w:eastAsia="Arial" w:hAnsi="Calibri" w:cs="Calibri"/>
                <w:color w:val="000000"/>
                <w:sz w:val="22"/>
                <w:szCs w:val="22"/>
              </w:rPr>
              <w:t> </w:t>
            </w:r>
          </w:p>
          <w:p w14:paraId="585DE674" w14:textId="77777777" w:rsidR="00ED371E" w:rsidRDefault="00ED371E" w:rsidP="00ED371E">
            <w:pPr>
              <w:pStyle w:val="paragraph"/>
              <w:spacing w:before="0" w:beforeAutospacing="0" w:after="0" w:afterAutospacing="0"/>
              <w:textAlignment w:val="baseline"/>
              <w:divId w:val="941687362"/>
              <w:rPr>
                <w:rFonts w:ascii="Segoe UI" w:hAnsi="Segoe UI" w:cs="Segoe UI"/>
                <w:sz w:val="18"/>
                <w:szCs w:val="18"/>
              </w:rPr>
            </w:pPr>
            <w:r>
              <w:rPr>
                <w:rStyle w:val="eop"/>
                <w:rFonts w:ascii="Calibri" w:eastAsia="Arial" w:hAnsi="Calibri" w:cs="Calibri"/>
                <w:color w:val="000000"/>
                <w:sz w:val="22"/>
                <w:szCs w:val="22"/>
              </w:rPr>
              <w:t> </w:t>
            </w:r>
          </w:p>
          <w:p w14:paraId="5C7E4329" w14:textId="255EC736" w:rsidR="00ED371E" w:rsidRDefault="00ED371E" w:rsidP="00ED371E">
            <w:pPr>
              <w:pStyle w:val="TableParagraph"/>
              <w:contextualSpacing/>
              <w:jc w:val="center"/>
              <w:rPr>
                <w:rFonts w:ascii="Calibri"/>
              </w:rPr>
            </w:pPr>
            <w:r>
              <w:rPr>
                <w:rStyle w:val="normaltextrun"/>
                <w:rFonts w:ascii="Calibri" w:hAnsi="Calibri" w:cs="Calibri"/>
                <w:color w:val="333333"/>
              </w:rPr>
              <w:t>$3,349</w:t>
            </w:r>
            <w:r>
              <w:rPr>
                <w:rStyle w:val="eop"/>
                <w:rFonts w:ascii="Calibri" w:hAnsi="Calibri" w:cs="Calibri"/>
                <w:color w:val="333333"/>
              </w:rPr>
              <w:t> </w:t>
            </w:r>
          </w:p>
        </w:tc>
        <w:tc>
          <w:tcPr>
            <w:tcW w:w="464" w:type="pct"/>
          </w:tcPr>
          <w:p w14:paraId="517723FE" w14:textId="77777777" w:rsidR="00ED371E" w:rsidRDefault="00ED371E" w:rsidP="00ED371E">
            <w:pPr>
              <w:pStyle w:val="paragraph"/>
              <w:spacing w:before="0" w:beforeAutospacing="0" w:after="0" w:afterAutospacing="0"/>
              <w:textAlignment w:val="baseline"/>
              <w:divId w:val="533688191"/>
              <w:rPr>
                <w:rFonts w:ascii="Segoe UI" w:hAnsi="Segoe UI" w:cs="Segoe UI"/>
                <w:sz w:val="18"/>
                <w:szCs w:val="18"/>
              </w:rPr>
            </w:pPr>
            <w:r>
              <w:rPr>
                <w:rStyle w:val="eop"/>
                <w:rFonts w:ascii="Calibri" w:eastAsia="Arial" w:hAnsi="Calibri" w:cs="Calibri"/>
                <w:color w:val="000000"/>
                <w:sz w:val="22"/>
                <w:szCs w:val="22"/>
              </w:rPr>
              <w:t> </w:t>
            </w:r>
          </w:p>
          <w:p w14:paraId="62ACAE00" w14:textId="77777777" w:rsidR="00ED371E" w:rsidRDefault="00ED371E" w:rsidP="00ED371E">
            <w:pPr>
              <w:pStyle w:val="paragraph"/>
              <w:spacing w:before="0" w:beforeAutospacing="0" w:after="0" w:afterAutospacing="0"/>
              <w:textAlignment w:val="baseline"/>
              <w:divId w:val="196427657"/>
              <w:rPr>
                <w:rFonts w:ascii="Segoe UI" w:hAnsi="Segoe UI" w:cs="Segoe UI"/>
                <w:sz w:val="18"/>
                <w:szCs w:val="18"/>
              </w:rPr>
            </w:pPr>
            <w:r>
              <w:rPr>
                <w:rStyle w:val="eop"/>
                <w:rFonts w:ascii="Calibri" w:eastAsia="Arial" w:hAnsi="Calibri" w:cs="Calibri"/>
                <w:color w:val="000000"/>
                <w:sz w:val="22"/>
                <w:szCs w:val="22"/>
              </w:rPr>
              <w:t> </w:t>
            </w:r>
          </w:p>
          <w:p w14:paraId="5C7E432C" w14:textId="159C10F7" w:rsidR="00ED371E" w:rsidRDefault="00ED371E" w:rsidP="00ED371E">
            <w:pPr>
              <w:pStyle w:val="TableParagraph"/>
              <w:contextualSpacing/>
              <w:jc w:val="center"/>
              <w:rPr>
                <w:rFonts w:ascii="Calibri"/>
              </w:rPr>
            </w:pPr>
            <w:r>
              <w:rPr>
                <w:rStyle w:val="normaltextrun"/>
                <w:rFonts w:ascii="Calibri" w:hAnsi="Calibri" w:cs="Calibri"/>
                <w:color w:val="333333"/>
              </w:rPr>
              <w:t>$3,922</w:t>
            </w:r>
            <w:r>
              <w:rPr>
                <w:rStyle w:val="eop"/>
                <w:rFonts w:ascii="Calibri" w:hAnsi="Calibri" w:cs="Calibri"/>
                <w:color w:val="333333"/>
              </w:rPr>
              <w:t> </w:t>
            </w:r>
          </w:p>
        </w:tc>
        <w:tc>
          <w:tcPr>
            <w:tcW w:w="464" w:type="pct"/>
          </w:tcPr>
          <w:p w14:paraId="7F97EC0A" w14:textId="77777777" w:rsidR="00ED371E" w:rsidRDefault="00ED371E" w:rsidP="00ED371E">
            <w:pPr>
              <w:pStyle w:val="paragraph"/>
              <w:spacing w:before="0" w:beforeAutospacing="0" w:after="0" w:afterAutospacing="0"/>
              <w:textAlignment w:val="baseline"/>
              <w:divId w:val="2088532625"/>
              <w:rPr>
                <w:rFonts w:ascii="Segoe UI" w:hAnsi="Segoe UI" w:cs="Segoe UI"/>
                <w:sz w:val="18"/>
                <w:szCs w:val="18"/>
              </w:rPr>
            </w:pPr>
            <w:r>
              <w:rPr>
                <w:rStyle w:val="eop"/>
                <w:rFonts w:ascii="Calibri" w:eastAsia="Arial" w:hAnsi="Calibri" w:cs="Calibri"/>
                <w:color w:val="000000"/>
                <w:sz w:val="22"/>
                <w:szCs w:val="22"/>
              </w:rPr>
              <w:t> </w:t>
            </w:r>
          </w:p>
          <w:p w14:paraId="024735D8" w14:textId="77777777" w:rsidR="00ED371E" w:rsidRDefault="00ED371E" w:rsidP="00ED371E">
            <w:pPr>
              <w:pStyle w:val="paragraph"/>
              <w:spacing w:before="0" w:beforeAutospacing="0" w:after="0" w:afterAutospacing="0"/>
              <w:textAlignment w:val="baseline"/>
              <w:divId w:val="869881072"/>
              <w:rPr>
                <w:rFonts w:ascii="Segoe UI" w:hAnsi="Segoe UI" w:cs="Segoe UI"/>
                <w:sz w:val="18"/>
                <w:szCs w:val="18"/>
              </w:rPr>
            </w:pPr>
            <w:r>
              <w:rPr>
                <w:rStyle w:val="eop"/>
                <w:rFonts w:ascii="Calibri" w:eastAsia="Arial" w:hAnsi="Calibri" w:cs="Calibri"/>
                <w:color w:val="000000"/>
                <w:sz w:val="22"/>
                <w:szCs w:val="22"/>
              </w:rPr>
              <w:t> </w:t>
            </w:r>
          </w:p>
          <w:p w14:paraId="5C7E432F" w14:textId="00E95CD7" w:rsidR="00ED371E" w:rsidRDefault="00ED371E" w:rsidP="00ED371E">
            <w:pPr>
              <w:pStyle w:val="TableParagraph"/>
              <w:contextualSpacing/>
              <w:jc w:val="center"/>
              <w:rPr>
                <w:rFonts w:ascii="Calibri"/>
              </w:rPr>
            </w:pPr>
            <w:r>
              <w:rPr>
                <w:rStyle w:val="normaltextrun"/>
                <w:rFonts w:ascii="Calibri" w:hAnsi="Calibri" w:cs="Calibri"/>
                <w:color w:val="333333"/>
              </w:rPr>
              <w:t>$4,495</w:t>
            </w:r>
            <w:r>
              <w:rPr>
                <w:rStyle w:val="eop"/>
                <w:rFonts w:ascii="Calibri" w:hAnsi="Calibri" w:cs="Calibri"/>
                <w:color w:val="333333"/>
              </w:rPr>
              <w:t> </w:t>
            </w:r>
          </w:p>
        </w:tc>
        <w:tc>
          <w:tcPr>
            <w:tcW w:w="464" w:type="pct"/>
          </w:tcPr>
          <w:p w14:paraId="48200772" w14:textId="77777777" w:rsidR="00ED371E" w:rsidRDefault="00ED371E" w:rsidP="00ED371E">
            <w:pPr>
              <w:pStyle w:val="paragraph"/>
              <w:spacing w:before="0" w:beforeAutospacing="0" w:after="0" w:afterAutospacing="0"/>
              <w:textAlignment w:val="baseline"/>
              <w:divId w:val="1647123451"/>
              <w:rPr>
                <w:rFonts w:ascii="Segoe UI" w:hAnsi="Segoe UI" w:cs="Segoe UI"/>
                <w:sz w:val="18"/>
                <w:szCs w:val="18"/>
              </w:rPr>
            </w:pPr>
            <w:r>
              <w:rPr>
                <w:rStyle w:val="eop"/>
                <w:rFonts w:ascii="Calibri" w:eastAsia="Arial" w:hAnsi="Calibri" w:cs="Calibri"/>
                <w:color w:val="000000"/>
                <w:sz w:val="22"/>
                <w:szCs w:val="22"/>
              </w:rPr>
              <w:t> </w:t>
            </w:r>
          </w:p>
          <w:p w14:paraId="0FCA83E7" w14:textId="77777777" w:rsidR="00ED371E" w:rsidRDefault="00ED371E" w:rsidP="00ED371E">
            <w:pPr>
              <w:pStyle w:val="paragraph"/>
              <w:spacing w:before="0" w:beforeAutospacing="0" w:after="0" w:afterAutospacing="0"/>
              <w:textAlignment w:val="baseline"/>
              <w:divId w:val="2128960847"/>
              <w:rPr>
                <w:rFonts w:ascii="Segoe UI" w:hAnsi="Segoe UI" w:cs="Segoe UI"/>
                <w:sz w:val="18"/>
                <w:szCs w:val="18"/>
              </w:rPr>
            </w:pPr>
            <w:r>
              <w:rPr>
                <w:rStyle w:val="eop"/>
                <w:rFonts w:ascii="Calibri" w:eastAsia="Arial" w:hAnsi="Calibri" w:cs="Calibri"/>
                <w:color w:val="000000"/>
                <w:sz w:val="22"/>
                <w:szCs w:val="22"/>
              </w:rPr>
              <w:t> </w:t>
            </w:r>
          </w:p>
          <w:p w14:paraId="5C7E4332" w14:textId="6732F8A7" w:rsidR="00ED371E" w:rsidRDefault="00ED371E" w:rsidP="00ED371E">
            <w:pPr>
              <w:pStyle w:val="TableParagraph"/>
              <w:contextualSpacing/>
              <w:jc w:val="center"/>
              <w:rPr>
                <w:rFonts w:ascii="Calibri"/>
              </w:rPr>
            </w:pPr>
            <w:r>
              <w:rPr>
                <w:rStyle w:val="normaltextrun"/>
                <w:rFonts w:ascii="Calibri" w:hAnsi="Calibri" w:cs="Calibri"/>
                <w:color w:val="333333"/>
              </w:rPr>
              <w:t>$5,068</w:t>
            </w:r>
            <w:r>
              <w:rPr>
                <w:rStyle w:val="eop"/>
                <w:rFonts w:ascii="Calibri" w:hAnsi="Calibri" w:cs="Calibri"/>
                <w:color w:val="333333"/>
              </w:rPr>
              <w:t> </w:t>
            </w:r>
          </w:p>
        </w:tc>
        <w:tc>
          <w:tcPr>
            <w:tcW w:w="456" w:type="pct"/>
          </w:tcPr>
          <w:p w14:paraId="486A5773" w14:textId="77777777" w:rsidR="00ED371E" w:rsidRDefault="00ED371E" w:rsidP="00ED371E">
            <w:pPr>
              <w:pStyle w:val="paragraph"/>
              <w:spacing w:before="0" w:beforeAutospacing="0" w:after="0" w:afterAutospacing="0"/>
              <w:textAlignment w:val="baseline"/>
              <w:divId w:val="2084912185"/>
              <w:rPr>
                <w:rFonts w:ascii="Segoe UI" w:hAnsi="Segoe UI" w:cs="Segoe UI"/>
                <w:sz w:val="18"/>
                <w:szCs w:val="18"/>
              </w:rPr>
            </w:pPr>
            <w:r>
              <w:rPr>
                <w:rStyle w:val="eop"/>
                <w:rFonts w:ascii="Calibri" w:eastAsia="Arial" w:hAnsi="Calibri" w:cs="Calibri"/>
                <w:color w:val="000000"/>
                <w:sz w:val="22"/>
                <w:szCs w:val="22"/>
              </w:rPr>
              <w:t> </w:t>
            </w:r>
          </w:p>
          <w:p w14:paraId="32A9A993" w14:textId="77777777" w:rsidR="00ED371E" w:rsidRDefault="00ED371E" w:rsidP="00ED371E">
            <w:pPr>
              <w:pStyle w:val="paragraph"/>
              <w:spacing w:before="0" w:beforeAutospacing="0" w:after="0" w:afterAutospacing="0"/>
              <w:textAlignment w:val="baseline"/>
              <w:divId w:val="1634678943"/>
              <w:rPr>
                <w:rFonts w:ascii="Segoe UI" w:hAnsi="Segoe UI" w:cs="Segoe UI"/>
                <w:sz w:val="18"/>
                <w:szCs w:val="18"/>
              </w:rPr>
            </w:pPr>
            <w:r>
              <w:rPr>
                <w:rStyle w:val="eop"/>
                <w:rFonts w:ascii="Calibri" w:eastAsia="Arial" w:hAnsi="Calibri" w:cs="Calibri"/>
                <w:color w:val="000000"/>
                <w:sz w:val="22"/>
                <w:szCs w:val="22"/>
              </w:rPr>
              <w:t> </w:t>
            </w:r>
          </w:p>
          <w:p w14:paraId="5C7E4335" w14:textId="31DB3B3A" w:rsidR="00ED371E" w:rsidRDefault="00ED371E" w:rsidP="00ED371E">
            <w:pPr>
              <w:pStyle w:val="TableParagraph"/>
              <w:contextualSpacing/>
              <w:jc w:val="center"/>
              <w:rPr>
                <w:rFonts w:ascii="Calibri"/>
              </w:rPr>
            </w:pPr>
            <w:r>
              <w:rPr>
                <w:rStyle w:val="normaltextrun"/>
                <w:rFonts w:ascii="Calibri" w:hAnsi="Calibri" w:cs="Calibri"/>
                <w:color w:val="333333"/>
              </w:rPr>
              <w:t>$5,641</w:t>
            </w:r>
            <w:r>
              <w:rPr>
                <w:rStyle w:val="eop"/>
                <w:rFonts w:ascii="Calibri" w:hAnsi="Calibri" w:cs="Calibri"/>
                <w:color w:val="333333"/>
              </w:rPr>
              <w:t> </w:t>
            </w:r>
          </w:p>
        </w:tc>
        <w:tc>
          <w:tcPr>
            <w:tcW w:w="632" w:type="pct"/>
            <w:vAlign w:val="center"/>
          </w:tcPr>
          <w:p w14:paraId="5C7E4337" w14:textId="7C0A6F87" w:rsidR="00ED371E" w:rsidRPr="00694920" w:rsidRDefault="00ED371E" w:rsidP="00ED371E">
            <w:pPr>
              <w:pStyle w:val="TableParagraph"/>
              <w:contextualSpacing/>
              <w:rPr>
                <w:rFonts w:ascii="Calibri"/>
                <w:lang w:val="es-ES_tradnl"/>
              </w:rPr>
            </w:pPr>
            <w:r w:rsidRPr="00694920">
              <w:rPr>
                <w:rFonts w:ascii="Calibri" w:hAnsi="Calibri"/>
                <w:lang w:val="es-ES_tradnl"/>
              </w:rPr>
              <w:t xml:space="preserve">Sume </w:t>
            </w:r>
            <w:r w:rsidRPr="00694920">
              <w:rPr>
                <w:rFonts w:ascii="Calibri" w:hAnsi="Calibri"/>
                <w:color w:val="333333"/>
                <w:lang w:val="es-ES_tradnl"/>
              </w:rPr>
              <w:t>$</w:t>
            </w:r>
            <w:r>
              <w:rPr>
                <w:rFonts w:ascii="Calibri" w:hAnsi="Calibri"/>
                <w:color w:val="333333"/>
                <w:lang w:val="es-ES_tradnl"/>
              </w:rPr>
              <w:t>5</w:t>
            </w:r>
            <w:r w:rsidR="00E90240">
              <w:rPr>
                <w:rFonts w:ascii="Calibri" w:hAnsi="Calibri"/>
                <w:color w:val="333333"/>
                <w:lang w:val="es-ES_tradnl"/>
              </w:rPr>
              <w:t>73</w:t>
            </w:r>
            <w:r>
              <w:rPr>
                <w:rFonts w:ascii="Calibri" w:hAnsi="Calibri"/>
                <w:color w:val="333333"/>
                <w:lang w:val="es-ES_tradnl"/>
              </w:rPr>
              <w:t xml:space="preserve"> </w:t>
            </w:r>
            <w:r w:rsidRPr="00694920">
              <w:rPr>
                <w:rFonts w:ascii="Calibri" w:hAnsi="Calibri"/>
                <w:lang w:val="es-ES_tradnl"/>
              </w:rPr>
              <w:t>por cada persona adicional</w:t>
            </w:r>
          </w:p>
        </w:tc>
      </w:tr>
      <w:tr w:rsidR="00ED371E" w:rsidRPr="00CF0E1A" w14:paraId="5C7E434C" w14:textId="77777777" w:rsidTr="00A9676E">
        <w:tc>
          <w:tcPr>
            <w:tcW w:w="671" w:type="pct"/>
            <w:shd w:val="clear" w:color="auto" w:fill="E6E6E6"/>
            <w:vAlign w:val="center"/>
          </w:tcPr>
          <w:p w14:paraId="5C7E433A" w14:textId="77777777" w:rsidR="00ED371E" w:rsidRDefault="00ED371E" w:rsidP="00ED371E">
            <w:pPr>
              <w:pStyle w:val="TableParagraph"/>
              <w:contextualSpacing/>
              <w:rPr>
                <w:rFonts w:ascii="Calibri"/>
                <w:b/>
              </w:rPr>
            </w:pPr>
            <w:proofErr w:type="spellStart"/>
            <w:r>
              <w:rPr>
                <w:rFonts w:ascii="Calibri" w:hAnsi="Calibri"/>
                <w:b/>
                <w:bCs/>
              </w:rPr>
              <w:t>Ingreso</w:t>
            </w:r>
            <w:proofErr w:type="spellEnd"/>
            <w:r>
              <w:rPr>
                <w:rFonts w:ascii="Calibri" w:hAnsi="Calibri"/>
                <w:b/>
                <w:bCs/>
              </w:rPr>
              <w:t xml:space="preserve"> </w:t>
            </w:r>
            <w:proofErr w:type="spellStart"/>
            <w:r>
              <w:rPr>
                <w:rFonts w:ascii="Calibri" w:hAnsi="Calibri"/>
                <w:b/>
                <w:bCs/>
              </w:rPr>
              <w:t>anual</w:t>
            </w:r>
            <w:proofErr w:type="spellEnd"/>
            <w:r>
              <w:rPr>
                <w:rFonts w:ascii="Calibri" w:hAnsi="Calibri"/>
                <w:b/>
                <w:bCs/>
              </w:rPr>
              <w:t xml:space="preserve"> </w:t>
            </w:r>
            <w:proofErr w:type="spellStart"/>
            <w:r>
              <w:rPr>
                <w:rFonts w:ascii="Calibri" w:hAnsi="Calibri"/>
                <w:b/>
                <w:bCs/>
              </w:rPr>
              <w:t>máximo</w:t>
            </w:r>
            <w:proofErr w:type="spellEnd"/>
            <w:r>
              <w:rPr>
                <w:rFonts w:ascii="Calibri" w:hAnsi="Calibri"/>
                <w:b/>
                <w:bCs/>
              </w:rPr>
              <w:t>*</w:t>
            </w:r>
          </w:p>
        </w:tc>
        <w:tc>
          <w:tcPr>
            <w:tcW w:w="456" w:type="pct"/>
          </w:tcPr>
          <w:p w14:paraId="29ADABA1" w14:textId="77777777" w:rsidR="00ED371E" w:rsidRDefault="00ED371E" w:rsidP="00ED371E">
            <w:pPr>
              <w:pStyle w:val="paragraph"/>
              <w:spacing w:before="0" w:beforeAutospacing="0" w:after="0" w:afterAutospacing="0"/>
              <w:textAlignment w:val="baseline"/>
              <w:divId w:val="1372265576"/>
              <w:rPr>
                <w:rFonts w:ascii="Segoe UI" w:hAnsi="Segoe UI" w:cs="Segoe UI"/>
                <w:sz w:val="18"/>
                <w:szCs w:val="18"/>
              </w:rPr>
            </w:pPr>
            <w:r>
              <w:rPr>
                <w:rStyle w:val="eop"/>
                <w:rFonts w:ascii="Calibri" w:eastAsia="Arial" w:hAnsi="Calibri" w:cs="Calibri"/>
                <w:color w:val="000000"/>
                <w:sz w:val="22"/>
                <w:szCs w:val="22"/>
              </w:rPr>
              <w:t> </w:t>
            </w:r>
          </w:p>
          <w:p w14:paraId="5C7E433C" w14:textId="069DFD02" w:rsidR="00ED371E" w:rsidRDefault="00ED371E" w:rsidP="00ED371E">
            <w:pPr>
              <w:pStyle w:val="TableParagraph"/>
              <w:contextualSpacing/>
              <w:jc w:val="center"/>
              <w:rPr>
                <w:rFonts w:ascii="Calibri"/>
              </w:rPr>
            </w:pPr>
            <w:r>
              <w:rPr>
                <w:rStyle w:val="normaltextrun"/>
                <w:rFonts w:ascii="Calibri" w:hAnsi="Calibri" w:cs="Calibri"/>
                <w:color w:val="000000"/>
              </w:rPr>
              <w:t>$19,563</w:t>
            </w:r>
            <w:r>
              <w:rPr>
                <w:rStyle w:val="eop"/>
                <w:rFonts w:ascii="Calibri" w:hAnsi="Calibri" w:cs="Calibri"/>
                <w:color w:val="000000"/>
              </w:rPr>
              <w:t> </w:t>
            </w:r>
          </w:p>
        </w:tc>
        <w:tc>
          <w:tcPr>
            <w:tcW w:w="464" w:type="pct"/>
          </w:tcPr>
          <w:p w14:paraId="765D1927" w14:textId="77777777" w:rsidR="00ED371E" w:rsidRDefault="00ED371E" w:rsidP="00ED371E">
            <w:pPr>
              <w:pStyle w:val="paragraph"/>
              <w:spacing w:before="0" w:beforeAutospacing="0" w:after="0" w:afterAutospacing="0"/>
              <w:textAlignment w:val="baseline"/>
              <w:divId w:val="1617060527"/>
              <w:rPr>
                <w:rFonts w:ascii="Segoe UI" w:hAnsi="Segoe UI" w:cs="Segoe UI"/>
                <w:sz w:val="18"/>
                <w:szCs w:val="18"/>
              </w:rPr>
            </w:pPr>
            <w:r>
              <w:rPr>
                <w:rStyle w:val="eop"/>
                <w:rFonts w:ascii="Calibri" w:eastAsia="Arial" w:hAnsi="Calibri" w:cs="Calibri"/>
                <w:color w:val="000000"/>
                <w:sz w:val="22"/>
                <w:szCs w:val="22"/>
              </w:rPr>
              <w:t> </w:t>
            </w:r>
          </w:p>
          <w:p w14:paraId="5C7E433E" w14:textId="6C9AEDAB" w:rsidR="00ED371E" w:rsidRDefault="00ED371E" w:rsidP="00ED371E">
            <w:pPr>
              <w:pStyle w:val="TableParagraph"/>
              <w:contextualSpacing/>
              <w:jc w:val="center"/>
              <w:rPr>
                <w:rFonts w:ascii="Calibri"/>
              </w:rPr>
            </w:pPr>
            <w:r>
              <w:rPr>
                <w:rStyle w:val="normaltextrun"/>
                <w:rFonts w:ascii="Calibri" w:hAnsi="Calibri" w:cs="Calibri"/>
                <w:color w:val="000000"/>
              </w:rPr>
              <w:t>$26,438</w:t>
            </w:r>
            <w:r>
              <w:rPr>
                <w:rStyle w:val="eop"/>
                <w:rFonts w:ascii="Calibri" w:hAnsi="Calibri" w:cs="Calibri"/>
                <w:color w:val="000000"/>
              </w:rPr>
              <w:t> </w:t>
            </w:r>
          </w:p>
        </w:tc>
        <w:tc>
          <w:tcPr>
            <w:tcW w:w="464" w:type="pct"/>
          </w:tcPr>
          <w:p w14:paraId="2AB596F9" w14:textId="77777777" w:rsidR="00ED371E" w:rsidRDefault="00ED371E" w:rsidP="00ED371E">
            <w:pPr>
              <w:pStyle w:val="paragraph"/>
              <w:spacing w:before="0" w:beforeAutospacing="0" w:after="0" w:afterAutospacing="0"/>
              <w:textAlignment w:val="baseline"/>
              <w:divId w:val="1948924324"/>
              <w:rPr>
                <w:rFonts w:ascii="Segoe UI" w:hAnsi="Segoe UI" w:cs="Segoe UI"/>
                <w:sz w:val="18"/>
                <w:szCs w:val="18"/>
              </w:rPr>
            </w:pPr>
            <w:r>
              <w:rPr>
                <w:rStyle w:val="eop"/>
                <w:rFonts w:ascii="Calibri" w:eastAsia="Arial" w:hAnsi="Calibri" w:cs="Calibri"/>
                <w:color w:val="000000"/>
                <w:sz w:val="22"/>
                <w:szCs w:val="22"/>
              </w:rPr>
              <w:t> </w:t>
            </w:r>
          </w:p>
          <w:p w14:paraId="5C7E4340" w14:textId="136DA108" w:rsidR="00ED371E" w:rsidRDefault="00ED371E" w:rsidP="00ED371E">
            <w:pPr>
              <w:pStyle w:val="TableParagraph"/>
              <w:contextualSpacing/>
              <w:jc w:val="center"/>
              <w:rPr>
                <w:rFonts w:ascii="Calibri"/>
              </w:rPr>
            </w:pPr>
            <w:r>
              <w:rPr>
                <w:rStyle w:val="normaltextrun"/>
                <w:rFonts w:ascii="Calibri" w:hAnsi="Calibri" w:cs="Calibri"/>
                <w:color w:val="000000"/>
              </w:rPr>
              <w:t>$33,313</w:t>
            </w:r>
            <w:r>
              <w:rPr>
                <w:rStyle w:val="eop"/>
                <w:rFonts w:ascii="Calibri" w:hAnsi="Calibri" w:cs="Calibri"/>
                <w:color w:val="000000"/>
              </w:rPr>
              <w:t> </w:t>
            </w:r>
          </w:p>
        </w:tc>
        <w:tc>
          <w:tcPr>
            <w:tcW w:w="464" w:type="pct"/>
          </w:tcPr>
          <w:p w14:paraId="5033AD27" w14:textId="77777777" w:rsidR="00ED371E" w:rsidRDefault="00ED371E" w:rsidP="00ED371E">
            <w:pPr>
              <w:pStyle w:val="paragraph"/>
              <w:spacing w:before="0" w:beforeAutospacing="0" w:after="0" w:afterAutospacing="0"/>
              <w:textAlignment w:val="baseline"/>
              <w:divId w:val="1682119255"/>
              <w:rPr>
                <w:rFonts w:ascii="Segoe UI" w:hAnsi="Segoe UI" w:cs="Segoe UI"/>
                <w:sz w:val="18"/>
                <w:szCs w:val="18"/>
              </w:rPr>
            </w:pPr>
            <w:r>
              <w:rPr>
                <w:rStyle w:val="eop"/>
                <w:rFonts w:ascii="Calibri" w:eastAsia="Arial" w:hAnsi="Calibri" w:cs="Calibri"/>
                <w:color w:val="000000"/>
                <w:sz w:val="22"/>
                <w:szCs w:val="22"/>
              </w:rPr>
              <w:t> </w:t>
            </w:r>
          </w:p>
          <w:p w14:paraId="5C7E4342" w14:textId="6986816A" w:rsidR="00ED371E" w:rsidRDefault="00ED371E" w:rsidP="00ED371E">
            <w:pPr>
              <w:pStyle w:val="TableParagraph"/>
              <w:contextualSpacing/>
              <w:jc w:val="center"/>
              <w:rPr>
                <w:rFonts w:ascii="Calibri"/>
              </w:rPr>
            </w:pPr>
            <w:r>
              <w:rPr>
                <w:rStyle w:val="normaltextrun"/>
                <w:rFonts w:ascii="Calibri" w:hAnsi="Calibri" w:cs="Calibri"/>
                <w:color w:val="000000"/>
              </w:rPr>
              <w:t>$40,188</w:t>
            </w:r>
            <w:r>
              <w:rPr>
                <w:rStyle w:val="eop"/>
                <w:rFonts w:ascii="Calibri" w:hAnsi="Calibri" w:cs="Calibri"/>
                <w:color w:val="000000"/>
              </w:rPr>
              <w:t> </w:t>
            </w:r>
          </w:p>
        </w:tc>
        <w:tc>
          <w:tcPr>
            <w:tcW w:w="464" w:type="pct"/>
          </w:tcPr>
          <w:p w14:paraId="22613971" w14:textId="77777777" w:rsidR="00ED371E" w:rsidRDefault="00ED371E" w:rsidP="00ED371E">
            <w:pPr>
              <w:pStyle w:val="paragraph"/>
              <w:spacing w:before="0" w:beforeAutospacing="0" w:after="0" w:afterAutospacing="0"/>
              <w:textAlignment w:val="baseline"/>
              <w:divId w:val="858473328"/>
              <w:rPr>
                <w:rFonts w:ascii="Segoe UI" w:hAnsi="Segoe UI" w:cs="Segoe UI"/>
                <w:sz w:val="18"/>
                <w:szCs w:val="18"/>
              </w:rPr>
            </w:pPr>
            <w:r>
              <w:rPr>
                <w:rStyle w:val="eop"/>
                <w:rFonts w:ascii="Calibri" w:eastAsia="Arial" w:hAnsi="Calibri" w:cs="Calibri"/>
                <w:color w:val="000000"/>
                <w:sz w:val="22"/>
                <w:szCs w:val="22"/>
              </w:rPr>
              <w:t> </w:t>
            </w:r>
          </w:p>
          <w:p w14:paraId="5C7E4344" w14:textId="06E568B0" w:rsidR="00ED371E" w:rsidRDefault="00ED371E" w:rsidP="00ED371E">
            <w:pPr>
              <w:pStyle w:val="TableParagraph"/>
              <w:contextualSpacing/>
              <w:jc w:val="center"/>
              <w:rPr>
                <w:rFonts w:ascii="Calibri"/>
              </w:rPr>
            </w:pPr>
            <w:r>
              <w:rPr>
                <w:rStyle w:val="normaltextrun"/>
                <w:rFonts w:ascii="Calibri" w:hAnsi="Calibri" w:cs="Calibri"/>
                <w:color w:val="000000"/>
              </w:rPr>
              <w:t>$47,063</w:t>
            </w:r>
            <w:r>
              <w:rPr>
                <w:rStyle w:val="eop"/>
                <w:rFonts w:ascii="Calibri" w:hAnsi="Calibri" w:cs="Calibri"/>
                <w:color w:val="000000"/>
              </w:rPr>
              <w:t> </w:t>
            </w:r>
          </w:p>
        </w:tc>
        <w:tc>
          <w:tcPr>
            <w:tcW w:w="464" w:type="pct"/>
          </w:tcPr>
          <w:p w14:paraId="273AA9D5" w14:textId="77777777" w:rsidR="00ED371E" w:rsidRDefault="00ED371E" w:rsidP="00ED371E">
            <w:pPr>
              <w:pStyle w:val="paragraph"/>
              <w:spacing w:before="0" w:beforeAutospacing="0" w:after="0" w:afterAutospacing="0"/>
              <w:textAlignment w:val="baseline"/>
              <w:divId w:val="1240360420"/>
              <w:rPr>
                <w:rFonts w:ascii="Segoe UI" w:hAnsi="Segoe UI" w:cs="Segoe UI"/>
                <w:sz w:val="18"/>
                <w:szCs w:val="18"/>
              </w:rPr>
            </w:pPr>
            <w:r>
              <w:rPr>
                <w:rStyle w:val="eop"/>
                <w:rFonts w:ascii="Calibri" w:eastAsia="Arial" w:hAnsi="Calibri" w:cs="Calibri"/>
                <w:color w:val="000000"/>
                <w:sz w:val="22"/>
                <w:szCs w:val="22"/>
              </w:rPr>
              <w:t> </w:t>
            </w:r>
          </w:p>
          <w:p w14:paraId="5C7E4346" w14:textId="109227AC" w:rsidR="00ED371E" w:rsidRDefault="00ED371E" w:rsidP="00ED371E">
            <w:pPr>
              <w:pStyle w:val="TableParagraph"/>
              <w:contextualSpacing/>
              <w:jc w:val="center"/>
              <w:rPr>
                <w:rFonts w:ascii="Calibri"/>
              </w:rPr>
            </w:pPr>
            <w:r>
              <w:rPr>
                <w:rStyle w:val="normaltextrun"/>
                <w:rFonts w:ascii="Calibri" w:hAnsi="Calibri" w:cs="Calibri"/>
                <w:color w:val="000000"/>
              </w:rPr>
              <w:t>$53,938</w:t>
            </w:r>
            <w:r>
              <w:rPr>
                <w:rStyle w:val="eop"/>
                <w:rFonts w:ascii="Calibri" w:hAnsi="Calibri" w:cs="Calibri"/>
                <w:color w:val="000000"/>
              </w:rPr>
              <w:t> </w:t>
            </w:r>
          </w:p>
        </w:tc>
        <w:tc>
          <w:tcPr>
            <w:tcW w:w="464" w:type="pct"/>
          </w:tcPr>
          <w:p w14:paraId="3430FA90" w14:textId="77777777" w:rsidR="00ED371E" w:rsidRDefault="00ED371E" w:rsidP="00ED371E">
            <w:pPr>
              <w:pStyle w:val="paragraph"/>
              <w:spacing w:before="0" w:beforeAutospacing="0" w:after="0" w:afterAutospacing="0"/>
              <w:textAlignment w:val="baseline"/>
              <w:divId w:val="1261833178"/>
              <w:rPr>
                <w:rFonts w:ascii="Segoe UI" w:hAnsi="Segoe UI" w:cs="Segoe UI"/>
                <w:sz w:val="18"/>
                <w:szCs w:val="18"/>
              </w:rPr>
            </w:pPr>
            <w:r>
              <w:rPr>
                <w:rStyle w:val="eop"/>
                <w:rFonts w:ascii="Calibri" w:eastAsia="Arial" w:hAnsi="Calibri" w:cs="Calibri"/>
                <w:color w:val="000000"/>
                <w:sz w:val="22"/>
                <w:szCs w:val="22"/>
              </w:rPr>
              <w:t> </w:t>
            </w:r>
          </w:p>
          <w:p w14:paraId="5C7E4348" w14:textId="560927CC" w:rsidR="00ED371E" w:rsidRDefault="00ED371E" w:rsidP="00ED371E">
            <w:pPr>
              <w:pStyle w:val="TableParagraph"/>
              <w:contextualSpacing/>
              <w:jc w:val="center"/>
              <w:rPr>
                <w:rFonts w:ascii="Calibri"/>
              </w:rPr>
            </w:pPr>
            <w:r>
              <w:rPr>
                <w:rStyle w:val="normaltextrun"/>
                <w:rFonts w:ascii="Calibri" w:hAnsi="Calibri" w:cs="Calibri"/>
                <w:color w:val="000000"/>
              </w:rPr>
              <w:t>$60,813</w:t>
            </w:r>
            <w:r>
              <w:rPr>
                <w:rStyle w:val="eop"/>
                <w:rFonts w:ascii="Calibri" w:hAnsi="Calibri" w:cs="Calibri"/>
                <w:color w:val="000000"/>
              </w:rPr>
              <w:t> </w:t>
            </w:r>
          </w:p>
        </w:tc>
        <w:tc>
          <w:tcPr>
            <w:tcW w:w="456" w:type="pct"/>
          </w:tcPr>
          <w:p w14:paraId="58294807" w14:textId="77777777" w:rsidR="00ED371E" w:rsidRDefault="00ED371E" w:rsidP="00ED371E">
            <w:pPr>
              <w:pStyle w:val="paragraph"/>
              <w:spacing w:before="0" w:beforeAutospacing="0" w:after="0" w:afterAutospacing="0"/>
              <w:textAlignment w:val="baseline"/>
              <w:divId w:val="2037072004"/>
              <w:rPr>
                <w:rFonts w:ascii="Segoe UI" w:hAnsi="Segoe UI" w:cs="Segoe UI"/>
                <w:sz w:val="18"/>
                <w:szCs w:val="18"/>
              </w:rPr>
            </w:pPr>
            <w:r>
              <w:rPr>
                <w:rStyle w:val="eop"/>
                <w:rFonts w:ascii="Calibri" w:eastAsia="Arial" w:hAnsi="Calibri" w:cs="Calibri"/>
                <w:color w:val="000000"/>
                <w:sz w:val="22"/>
                <w:szCs w:val="22"/>
              </w:rPr>
              <w:t> </w:t>
            </w:r>
          </w:p>
          <w:p w14:paraId="5C7E434A" w14:textId="42BD2277" w:rsidR="00ED371E" w:rsidRDefault="00ED371E" w:rsidP="00ED371E">
            <w:pPr>
              <w:pStyle w:val="TableParagraph"/>
              <w:contextualSpacing/>
              <w:jc w:val="center"/>
              <w:rPr>
                <w:rFonts w:ascii="Calibri"/>
              </w:rPr>
            </w:pPr>
            <w:r>
              <w:rPr>
                <w:rStyle w:val="normaltextrun"/>
                <w:rFonts w:ascii="Calibri" w:hAnsi="Calibri" w:cs="Calibri"/>
                <w:color w:val="000000"/>
              </w:rPr>
              <w:t>$67,688</w:t>
            </w:r>
            <w:r>
              <w:rPr>
                <w:rStyle w:val="eop"/>
                <w:rFonts w:ascii="Calibri" w:hAnsi="Calibri" w:cs="Calibri"/>
                <w:color w:val="000000"/>
              </w:rPr>
              <w:t> </w:t>
            </w:r>
          </w:p>
        </w:tc>
        <w:tc>
          <w:tcPr>
            <w:tcW w:w="632" w:type="pct"/>
            <w:vAlign w:val="center"/>
          </w:tcPr>
          <w:p w14:paraId="5C7E434B" w14:textId="35CDF338" w:rsidR="00ED371E" w:rsidRPr="00694920" w:rsidRDefault="00ED371E" w:rsidP="00ED371E">
            <w:pPr>
              <w:pStyle w:val="TableParagraph"/>
              <w:contextualSpacing/>
              <w:rPr>
                <w:rFonts w:ascii="Calibri"/>
                <w:lang w:val="es-ES_tradnl"/>
              </w:rPr>
            </w:pPr>
            <w:r w:rsidRPr="00694920">
              <w:rPr>
                <w:rFonts w:ascii="Calibri" w:hAnsi="Calibri"/>
                <w:lang w:val="es-ES_tradnl"/>
              </w:rPr>
              <w:t>Sume $</w:t>
            </w:r>
            <w:r>
              <w:rPr>
                <w:rFonts w:ascii="Calibri" w:hAnsi="Calibri"/>
                <w:lang w:val="es-ES_tradnl"/>
              </w:rPr>
              <w:t>6</w:t>
            </w:r>
            <w:r w:rsidRPr="00694920">
              <w:rPr>
                <w:rFonts w:ascii="Calibri" w:hAnsi="Calibri"/>
                <w:lang w:val="es-ES_tradnl"/>
              </w:rPr>
              <w:t>,</w:t>
            </w:r>
            <w:r w:rsidR="00E90240">
              <w:rPr>
                <w:rFonts w:ascii="Calibri" w:hAnsi="Calibri"/>
                <w:lang w:val="es-ES_tradnl"/>
              </w:rPr>
              <w:t>875</w:t>
            </w:r>
            <w:r w:rsidRPr="00694920">
              <w:rPr>
                <w:rFonts w:ascii="Calibri" w:hAnsi="Calibri"/>
                <w:lang w:val="es-ES_tradnl"/>
              </w:rPr>
              <w:t xml:space="preserve"> por cada persona adicional</w:t>
            </w:r>
          </w:p>
        </w:tc>
      </w:tr>
    </w:tbl>
    <w:p w14:paraId="5C7E434D" w14:textId="77777777" w:rsidR="00126183" w:rsidRPr="00694920" w:rsidRDefault="00E64AB9" w:rsidP="00837E8E">
      <w:pPr>
        <w:pStyle w:val="BodyText"/>
        <w:ind w:left="540"/>
        <w:contextualSpacing/>
        <w:rPr>
          <w:lang w:val="es-ES_tradnl"/>
        </w:rPr>
      </w:pPr>
      <w:r w:rsidRPr="00694920">
        <w:rPr>
          <w:lang w:val="es-ES_tradnl"/>
        </w:rPr>
        <w:t>* “Ingresos” se refiere a los ingresos netos recibidos, después de deducir los impuestos y los costos de cuidado infantil.</w:t>
      </w:r>
    </w:p>
    <w:p w14:paraId="5C7E434E" w14:textId="77777777" w:rsidR="00126183" w:rsidRPr="00694920" w:rsidRDefault="00126183" w:rsidP="00837E8E">
      <w:pPr>
        <w:pStyle w:val="BodyText"/>
        <w:contextualSpacing/>
        <w:rPr>
          <w:sz w:val="22"/>
          <w:lang w:val="es-ES_tradnl"/>
        </w:rPr>
      </w:pPr>
    </w:p>
    <w:p w14:paraId="5C7E434F" w14:textId="77777777" w:rsidR="00126183" w:rsidRPr="00694920" w:rsidRDefault="00E64AB9" w:rsidP="00837E8E">
      <w:pPr>
        <w:pStyle w:val="BodyText"/>
        <w:contextualSpacing/>
        <w:rPr>
          <w:lang w:val="es-ES_tradnl"/>
        </w:rPr>
      </w:pPr>
      <w:r w:rsidRPr="00694920">
        <w:rPr>
          <w:lang w:val="es-ES_tradnl"/>
        </w:rPr>
        <w:t>El tribunal también puede dispensar las cuotas si actualmente recibe asistencia en virtud de un programa de asistencia basado en necesidades y con verificación de recursos, como el siguiente:</w:t>
      </w:r>
    </w:p>
    <w:p w14:paraId="5C7E4350" w14:textId="77777777" w:rsidR="00126183" w:rsidRPr="00837E8E" w:rsidRDefault="00E64AB9" w:rsidP="00837E8E">
      <w:pPr>
        <w:pStyle w:val="ListParagraph"/>
        <w:numPr>
          <w:ilvl w:val="0"/>
          <w:numId w:val="3"/>
        </w:numPr>
        <w:spacing w:line="240" w:lineRule="auto"/>
        <w:contextualSpacing/>
        <w:rPr>
          <w:sz w:val="24"/>
          <w:lang w:val="es-ES_tradnl"/>
        </w:rPr>
      </w:pPr>
      <w:r w:rsidRPr="00837E8E">
        <w:rPr>
          <w:sz w:val="24"/>
          <w:lang w:val="es-ES_tradnl"/>
        </w:rPr>
        <w:t>Asistencia Temporal para Familias Necesitadas (TANF) federal</w:t>
      </w:r>
    </w:p>
    <w:p w14:paraId="5C7E4351" w14:textId="77777777" w:rsidR="00126183" w:rsidRPr="00837E8E" w:rsidRDefault="00E64AB9" w:rsidP="00837E8E">
      <w:pPr>
        <w:pStyle w:val="ListParagraph"/>
        <w:numPr>
          <w:ilvl w:val="0"/>
          <w:numId w:val="3"/>
        </w:numPr>
        <w:spacing w:line="240" w:lineRule="auto"/>
        <w:contextualSpacing/>
        <w:rPr>
          <w:sz w:val="24"/>
          <w:lang w:val="es-ES_tradnl"/>
        </w:rPr>
      </w:pPr>
      <w:r w:rsidRPr="00837E8E">
        <w:rPr>
          <w:sz w:val="24"/>
          <w:lang w:val="es-ES_tradnl"/>
        </w:rPr>
        <w:t>Asistencia general proporcionada por el estado para personas desempleadas (GA-U o GA-X)</w:t>
      </w:r>
    </w:p>
    <w:p w14:paraId="5C7E4352" w14:textId="77777777" w:rsidR="00126183" w:rsidRPr="00837E8E" w:rsidRDefault="00E64AB9" w:rsidP="00837E8E">
      <w:pPr>
        <w:pStyle w:val="ListParagraph"/>
        <w:numPr>
          <w:ilvl w:val="0"/>
          <w:numId w:val="3"/>
        </w:numPr>
        <w:spacing w:line="240" w:lineRule="auto"/>
        <w:contextualSpacing/>
        <w:rPr>
          <w:sz w:val="24"/>
          <w:lang w:val="es-ES_tradnl"/>
        </w:rPr>
      </w:pPr>
      <w:r w:rsidRPr="00837E8E">
        <w:rPr>
          <w:sz w:val="24"/>
          <w:lang w:val="es-ES_tradnl"/>
        </w:rPr>
        <w:t>Ingreso suplementario de seguridad federal (SSI)</w:t>
      </w:r>
    </w:p>
    <w:p w14:paraId="5C7E4353" w14:textId="77777777" w:rsidR="00126183" w:rsidRPr="00837E8E" w:rsidRDefault="00E64AB9" w:rsidP="00837E8E">
      <w:pPr>
        <w:pStyle w:val="ListParagraph"/>
        <w:numPr>
          <w:ilvl w:val="0"/>
          <w:numId w:val="3"/>
        </w:numPr>
        <w:spacing w:line="240" w:lineRule="auto"/>
        <w:contextualSpacing/>
        <w:rPr>
          <w:sz w:val="24"/>
          <w:lang w:val="es-ES_tradnl"/>
        </w:rPr>
      </w:pPr>
      <w:r w:rsidRPr="00837E8E">
        <w:rPr>
          <w:sz w:val="24"/>
          <w:lang w:val="es-ES_tradnl"/>
        </w:rPr>
        <w:t>Beneficios federales para veteranos relacionados con la pobreza</w:t>
      </w:r>
    </w:p>
    <w:p w14:paraId="5C7E4354" w14:textId="77777777" w:rsidR="00126183" w:rsidRPr="00837E8E" w:rsidRDefault="00E64AB9" w:rsidP="00837E8E">
      <w:pPr>
        <w:pStyle w:val="ListParagraph"/>
        <w:numPr>
          <w:ilvl w:val="0"/>
          <w:numId w:val="3"/>
        </w:numPr>
        <w:spacing w:line="240" w:lineRule="auto"/>
        <w:contextualSpacing/>
        <w:rPr>
          <w:sz w:val="24"/>
          <w:lang w:val="es-ES_tradnl"/>
        </w:rPr>
      </w:pPr>
      <w:r w:rsidRPr="00837E8E">
        <w:rPr>
          <w:sz w:val="24"/>
          <w:lang w:val="es-ES_tradnl"/>
        </w:rPr>
        <w:t>Programa de Estampillas de Alimentos (FSP)</w:t>
      </w:r>
    </w:p>
    <w:p w14:paraId="5C7E4355" w14:textId="77777777" w:rsidR="00126183" w:rsidRPr="00694920" w:rsidRDefault="00E64AB9" w:rsidP="00837E8E">
      <w:pPr>
        <w:pStyle w:val="BodyText"/>
        <w:contextualSpacing/>
        <w:rPr>
          <w:lang w:val="es-ES_tradnl"/>
        </w:rPr>
      </w:pPr>
      <w:r w:rsidRPr="00694920">
        <w:rPr>
          <w:lang w:val="es-ES_tradnl"/>
        </w:rPr>
        <w:t>Si utiliza cualquiera de los anteriores como base para la exención de las cuotas, traiga pruebas, como una copia de una carta de concesión de beneficios reciente.</w:t>
      </w:r>
    </w:p>
    <w:p w14:paraId="5C7E4356" w14:textId="77777777" w:rsidR="00126183" w:rsidRPr="00694920" w:rsidRDefault="00126183" w:rsidP="00837E8E">
      <w:pPr>
        <w:pStyle w:val="BodyText"/>
        <w:contextualSpacing/>
        <w:rPr>
          <w:lang w:val="es-ES_tradnl"/>
        </w:rPr>
      </w:pPr>
    </w:p>
    <w:p w14:paraId="5C7E4357" w14:textId="77777777" w:rsidR="00126183" w:rsidRPr="00694920" w:rsidRDefault="00E64AB9" w:rsidP="3252172E">
      <w:pPr>
        <w:pStyle w:val="Heading1"/>
        <w:ind w:left="0"/>
        <w:contextualSpacing/>
        <w:rPr>
          <w:lang w:val="es-ES"/>
        </w:rPr>
      </w:pPr>
      <w:bookmarkStart w:id="1" w:name="FORMS_TO_USE:_The_Court_has_standard_for"/>
      <w:bookmarkEnd w:id="1"/>
      <w:r w:rsidRPr="3252172E">
        <w:rPr>
          <w:u w:val="thick"/>
          <w:lang w:val="es-ES"/>
        </w:rPr>
        <w:t>FORMULARIOS A UTILIZAR</w:t>
      </w:r>
      <w:r w:rsidRPr="3252172E">
        <w:rPr>
          <w:b w:val="0"/>
          <w:bCs w:val="0"/>
          <w:lang w:val="es-ES"/>
        </w:rPr>
        <w:t xml:space="preserve">: </w:t>
      </w:r>
      <w:r w:rsidRPr="3252172E">
        <w:rPr>
          <w:lang w:val="es-ES"/>
        </w:rPr>
        <w:t xml:space="preserve">el Tribunal tiene formularios estándar para obtener exenciones de cuotas, que debe </w:t>
      </w:r>
      <w:proofErr w:type="gramStart"/>
      <w:r w:rsidRPr="3252172E">
        <w:rPr>
          <w:lang w:val="es-ES"/>
        </w:rPr>
        <w:t>utilizar</w:t>
      </w:r>
      <w:proofErr w:type="gramEnd"/>
      <w:r w:rsidRPr="3252172E">
        <w:rPr>
          <w:lang w:val="es-ES"/>
        </w:rPr>
        <w:t xml:space="preserve"> aunque haya obtenido formularios similares en otro lugar. Los formularios están disponibles sin costo en la Oficina del </w:t>
      </w:r>
      <w:proofErr w:type="gramStart"/>
      <w:r w:rsidRPr="3252172E">
        <w:rPr>
          <w:lang w:val="es-ES"/>
        </w:rPr>
        <w:t>Secretario</w:t>
      </w:r>
      <w:proofErr w:type="gramEnd"/>
      <w:r w:rsidRPr="3252172E">
        <w:rPr>
          <w:lang w:val="es-ES"/>
        </w:rPr>
        <w:t xml:space="preserve"> (E609), o en línea (</w:t>
      </w:r>
      <w:hyperlink r:id="rId11">
        <w:r w:rsidRPr="3252172E">
          <w:rPr>
            <w:color w:val="0000FF"/>
            <w:u w:val="thick"/>
            <w:lang w:val="es-ES"/>
          </w:rPr>
          <w:t>www.courts.wa.gov/forms/?fa=forms.contribute&amp;formID=87</w:t>
        </w:r>
      </w:hyperlink>
      <w:r w:rsidRPr="3252172E">
        <w:rPr>
          <w:lang w:val="es-ES"/>
        </w:rPr>
        <w:t>).</w:t>
      </w:r>
    </w:p>
    <w:p w14:paraId="5C7E4358" w14:textId="77777777" w:rsidR="00126183" w:rsidRPr="009344BB" w:rsidRDefault="00E64AB9" w:rsidP="009344BB">
      <w:pPr>
        <w:pStyle w:val="ListParagraph"/>
        <w:numPr>
          <w:ilvl w:val="0"/>
          <w:numId w:val="4"/>
        </w:numPr>
        <w:contextualSpacing/>
        <w:rPr>
          <w:sz w:val="24"/>
          <w:lang w:val="es-ES_tradnl"/>
        </w:rPr>
      </w:pPr>
      <w:r w:rsidRPr="009344BB">
        <w:rPr>
          <w:sz w:val="24"/>
          <w:lang w:val="es-ES_tradnl"/>
        </w:rPr>
        <w:t>Moción y orden de exención de cuotas y recargos civiles</w:t>
      </w:r>
    </w:p>
    <w:p w14:paraId="5C7E4359" w14:textId="6DFEA6F5" w:rsidR="00126183" w:rsidRPr="009344BB" w:rsidRDefault="00E64AB9" w:rsidP="009344BB">
      <w:pPr>
        <w:pStyle w:val="ListParagraph"/>
        <w:numPr>
          <w:ilvl w:val="0"/>
          <w:numId w:val="4"/>
        </w:numPr>
        <w:contextualSpacing/>
        <w:rPr>
          <w:sz w:val="24"/>
          <w:lang w:val="es-ES_tradnl"/>
        </w:rPr>
      </w:pPr>
      <w:r w:rsidRPr="009344BB">
        <w:rPr>
          <w:sz w:val="24"/>
          <w:lang w:val="es-ES_tradnl"/>
        </w:rPr>
        <w:t xml:space="preserve">Estado financiero (si actualmente recibe beneficios basados en necesidades y con verificación de recursos como se identificó anteriormente, </w:t>
      </w:r>
      <w:r w:rsidRPr="009344BB">
        <w:rPr>
          <w:sz w:val="24"/>
          <w:u w:val="single"/>
          <w:lang w:val="es-ES_tradnl"/>
        </w:rPr>
        <w:t>no es necesario que conteste este formulario</w:t>
      </w:r>
      <w:r w:rsidRPr="009344BB">
        <w:rPr>
          <w:sz w:val="24"/>
          <w:lang w:val="es-ES_tradnl"/>
        </w:rPr>
        <w:t>).</w:t>
      </w:r>
    </w:p>
    <w:p w14:paraId="5D57EAD4" w14:textId="77777777" w:rsidR="00A61F31" w:rsidRPr="009344BB" w:rsidRDefault="00A61F31" w:rsidP="009344BB">
      <w:pPr>
        <w:contextualSpacing/>
        <w:rPr>
          <w:sz w:val="24"/>
          <w:lang w:val="es-ES_tradnl"/>
        </w:rPr>
      </w:pPr>
    </w:p>
    <w:p w14:paraId="5C7E435C" w14:textId="77777777" w:rsidR="00126183" w:rsidRPr="00694920" w:rsidRDefault="00E64AB9" w:rsidP="009344BB">
      <w:pPr>
        <w:pStyle w:val="Heading1"/>
        <w:ind w:left="0"/>
        <w:contextualSpacing/>
        <w:rPr>
          <w:b w:val="0"/>
          <w:lang w:val="es-ES_tradnl"/>
        </w:rPr>
      </w:pPr>
      <w:bookmarkStart w:id="2" w:name="INSTRUCTIONS:"/>
      <w:bookmarkEnd w:id="2"/>
      <w:r w:rsidRPr="00694920">
        <w:rPr>
          <w:u w:val="thick"/>
          <w:lang w:val="es-ES_tradnl"/>
        </w:rPr>
        <w:t>INSTRUCCIONES</w:t>
      </w:r>
      <w:r w:rsidRPr="00694920">
        <w:rPr>
          <w:b w:val="0"/>
          <w:bCs w:val="0"/>
          <w:lang w:val="es-ES_tradnl"/>
        </w:rPr>
        <w:t>:</w:t>
      </w:r>
    </w:p>
    <w:p w14:paraId="5C7E435D" w14:textId="3AD51432" w:rsidR="00126183" w:rsidRPr="00694920" w:rsidRDefault="00E64AB9" w:rsidP="009344BB">
      <w:pPr>
        <w:pStyle w:val="BodyText"/>
        <w:contextualSpacing/>
        <w:rPr>
          <w:lang w:val="es-ES_tradnl"/>
        </w:rPr>
      </w:pPr>
      <w:r w:rsidRPr="00694920">
        <w:rPr>
          <w:lang w:val="es-ES_tradnl"/>
        </w:rPr>
        <w:t xml:space="preserve">Conteste todos los formularios </w:t>
      </w:r>
      <w:r w:rsidRPr="00694920">
        <w:rPr>
          <w:u w:val="single"/>
          <w:lang w:val="es-ES_tradnl"/>
        </w:rPr>
        <w:t>por completo</w:t>
      </w:r>
      <w:r w:rsidRPr="00694920">
        <w:rPr>
          <w:i/>
          <w:iCs/>
          <w:u w:val="single"/>
          <w:lang w:val="es-ES_tradnl"/>
        </w:rPr>
        <w:t xml:space="preserve">, </w:t>
      </w:r>
      <w:r w:rsidRPr="00694920">
        <w:rPr>
          <w:lang w:val="es-ES_tradnl"/>
        </w:rPr>
        <w:t xml:space="preserve">incluida la orden. El tribunal no llenará la orden de exención de cuotas. Asegúrese de </w:t>
      </w:r>
      <w:r w:rsidRPr="00694920">
        <w:rPr>
          <w:u w:val="single"/>
          <w:lang w:val="es-ES_tradnl"/>
        </w:rPr>
        <w:t>firmar</w:t>
      </w:r>
      <w:r w:rsidRPr="00694920">
        <w:rPr>
          <w:lang w:val="es-ES_tradnl"/>
        </w:rPr>
        <w:t xml:space="preserve"> y </w:t>
      </w:r>
      <w:r w:rsidRPr="00694920">
        <w:rPr>
          <w:u w:val="single"/>
          <w:lang w:val="es-ES_tradnl"/>
        </w:rPr>
        <w:t>fechar</w:t>
      </w:r>
      <w:r w:rsidRPr="00694920">
        <w:rPr>
          <w:lang w:val="es-ES_tradnl"/>
        </w:rPr>
        <w:t xml:space="preserve"> la moción y orden y de contestar el formulario de “Estado financiero” u obtener una copia de una carta de concesión de beneficios reciente. También debe tener los documentos originales necesarios para iniciar su caso. Los documentos necesarios para acompañar la mayoría de los formularios (por ejemplo: peticiones, quejas y formularios de asignación de área de casos y portadas de índice de casos, formularios de información confidencial) se encuentran en </w:t>
      </w:r>
      <w:hyperlink r:id="rId12">
        <w:r w:rsidR="00500F47">
          <w:rPr>
            <w:color w:val="0000FF"/>
            <w:u w:val="single"/>
            <w:lang w:val="es-ES_tradnl"/>
          </w:rPr>
          <w:t>https://kingcounty.gov/en/dept/dja/courts-jails-legal-system/court-forms-document-filing/forms</w:t>
        </w:r>
      </w:hyperlink>
      <w:r w:rsidRPr="00694920">
        <w:rPr>
          <w:color w:val="0000FF"/>
          <w:lang w:val="es-ES_tradnl"/>
        </w:rPr>
        <w:t xml:space="preserve"> </w:t>
      </w:r>
      <w:r w:rsidRPr="00694920">
        <w:rPr>
          <w:lang w:val="es-ES_tradnl"/>
        </w:rPr>
        <w:t xml:space="preserve">y los formularios de derecho de familia en </w:t>
      </w:r>
      <w:hyperlink r:id="rId13">
        <w:r w:rsidRPr="00694920">
          <w:rPr>
            <w:color w:val="0000FF"/>
            <w:u w:val="single"/>
            <w:lang w:val="es-ES_tradnl"/>
          </w:rPr>
          <w:t>http://www.courts.wa.gov/forms/?fa=forms.static&amp;staticID=14</w:t>
        </w:r>
      </w:hyperlink>
      <w:r w:rsidRPr="00694920">
        <w:rPr>
          <w:lang w:val="es-ES_tradnl"/>
        </w:rPr>
        <w:t>.</w:t>
      </w:r>
    </w:p>
    <w:p w14:paraId="5C7E435E" w14:textId="77777777" w:rsidR="00126183" w:rsidRPr="00694920" w:rsidRDefault="00126183" w:rsidP="009344BB">
      <w:pPr>
        <w:pStyle w:val="BodyText"/>
        <w:contextualSpacing/>
        <w:rPr>
          <w:sz w:val="16"/>
          <w:lang w:val="es-ES_tradnl"/>
        </w:rPr>
      </w:pPr>
    </w:p>
    <w:p w14:paraId="5C7E435F" w14:textId="77777777" w:rsidR="00126183" w:rsidRPr="00694920" w:rsidRDefault="00E64AB9" w:rsidP="009344BB">
      <w:pPr>
        <w:pStyle w:val="BodyText"/>
        <w:contextualSpacing/>
        <w:rPr>
          <w:lang w:val="es-ES_tradnl"/>
        </w:rPr>
      </w:pPr>
      <w:r w:rsidRPr="00694920">
        <w:rPr>
          <w:lang w:val="es-ES_tradnl"/>
        </w:rPr>
        <w:t>Si el comisionado firma la orden, podrá presentar su caso sin pagar ninguna cuota. Si se niega la exención, se le pedirá que pague la cuota de tramitación para presentar su caso. Si se aprueba, el secretario iniciará su caso; le enviará una copia de su orden aprobada, número de caso y calendario del caso, si corresponde, usando el método que usted indicó en la portada. Si se deniega, el secretario le hará llegar una copia de la orden de denegación usando el método indicado en la portada y le enviará sus documentos originales por correo.</w:t>
      </w:r>
    </w:p>
    <w:p w14:paraId="5C7E4360" w14:textId="77777777" w:rsidR="00126183" w:rsidRPr="00694920" w:rsidRDefault="00126183" w:rsidP="009344BB">
      <w:pPr>
        <w:pStyle w:val="BodyText"/>
        <w:contextualSpacing/>
        <w:rPr>
          <w:lang w:val="es-ES_tradnl"/>
        </w:rPr>
      </w:pPr>
    </w:p>
    <w:p w14:paraId="5C7E4361" w14:textId="77777777" w:rsidR="00126183" w:rsidRPr="00694920" w:rsidRDefault="00E64AB9" w:rsidP="009344BB">
      <w:pPr>
        <w:pStyle w:val="Heading1"/>
        <w:ind w:left="0"/>
        <w:contextualSpacing/>
        <w:rPr>
          <w:lang w:val="es-ES_tradnl"/>
        </w:rPr>
      </w:pPr>
      <w:bookmarkStart w:id="3" w:name="Delivery_In-Person_or_by_Mail_at_either_"/>
      <w:bookmarkEnd w:id="3"/>
      <w:r w:rsidRPr="00694920">
        <w:rPr>
          <w:lang w:val="es-ES_tradnl"/>
        </w:rPr>
        <w:t>Entrega en persona o por correo a cualquiera de los siguientes lugares</w:t>
      </w:r>
    </w:p>
    <w:p w14:paraId="5C7E4362" w14:textId="77777777" w:rsidR="00126183" w:rsidRPr="00694920" w:rsidRDefault="00126183" w:rsidP="009344BB">
      <w:pPr>
        <w:pStyle w:val="BodyText"/>
        <w:contextualSpacing/>
        <w:rPr>
          <w:b/>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44" w:type="dxa"/>
          <w:bottom w:w="144" w:type="dxa"/>
          <w:right w:w="144" w:type="dxa"/>
        </w:tblCellMar>
        <w:tblLook w:val="01E0" w:firstRow="1" w:lastRow="1" w:firstColumn="1" w:lastColumn="1" w:noHBand="0" w:noVBand="0"/>
      </w:tblPr>
      <w:tblGrid>
        <w:gridCol w:w="5544"/>
        <w:gridCol w:w="5544"/>
      </w:tblGrid>
      <w:tr w:rsidR="00126183" w14:paraId="5C7E4367" w14:textId="77777777" w:rsidTr="009344BB">
        <w:tc>
          <w:tcPr>
            <w:tcW w:w="2500" w:type="pct"/>
          </w:tcPr>
          <w:p w14:paraId="5C7E4363" w14:textId="74833E63" w:rsidR="00126183" w:rsidRDefault="00E64AB9" w:rsidP="009344BB">
            <w:pPr>
              <w:pStyle w:val="TableParagraph"/>
              <w:contextualSpacing/>
              <w:rPr>
                <w:sz w:val="24"/>
              </w:rPr>
            </w:pPr>
            <w:bookmarkStart w:id="4" w:name="King_County_Superior_Court_"/>
            <w:bookmarkEnd w:id="4"/>
            <w:r>
              <w:rPr>
                <w:sz w:val="24"/>
              </w:rPr>
              <w:t xml:space="preserve">King County Superior Court </w:t>
            </w:r>
            <w:bookmarkStart w:id="5" w:name="516_Third_Avenue_Room_E609"/>
            <w:bookmarkEnd w:id="5"/>
            <w:r w:rsidR="00F216C5">
              <w:rPr>
                <w:sz w:val="24"/>
              </w:rPr>
              <w:br/>
            </w:r>
            <w:r>
              <w:rPr>
                <w:sz w:val="24"/>
              </w:rPr>
              <w:t>Attn: Clerk</w:t>
            </w:r>
            <w:r w:rsidR="00571850">
              <w:rPr>
                <w:sz w:val="24"/>
              </w:rPr>
              <w:t>’</w:t>
            </w:r>
            <w:r>
              <w:rPr>
                <w:sz w:val="24"/>
              </w:rPr>
              <w:t>s Office</w:t>
            </w:r>
          </w:p>
          <w:p w14:paraId="5C7E4364" w14:textId="5E945FF7" w:rsidR="00126183" w:rsidRDefault="00E64AB9" w:rsidP="009344BB">
            <w:pPr>
              <w:pStyle w:val="TableParagraph"/>
              <w:contextualSpacing/>
              <w:rPr>
                <w:sz w:val="24"/>
              </w:rPr>
            </w:pPr>
            <w:bookmarkStart w:id="6" w:name="Seattle,_WA_98104-2386"/>
            <w:bookmarkEnd w:id="6"/>
            <w:r>
              <w:rPr>
                <w:sz w:val="24"/>
              </w:rPr>
              <w:t xml:space="preserve">516 Third Avenue Room E609 </w:t>
            </w:r>
            <w:r w:rsidR="00F216C5">
              <w:rPr>
                <w:sz w:val="24"/>
              </w:rPr>
              <w:br/>
            </w:r>
            <w:r>
              <w:rPr>
                <w:sz w:val="24"/>
              </w:rPr>
              <w:t>Seattle, WA 98104-2386</w:t>
            </w:r>
          </w:p>
        </w:tc>
        <w:tc>
          <w:tcPr>
            <w:tcW w:w="2500" w:type="pct"/>
          </w:tcPr>
          <w:p w14:paraId="5C7E4365" w14:textId="5F299F27" w:rsidR="00126183" w:rsidRDefault="00E64AB9" w:rsidP="009344BB">
            <w:pPr>
              <w:pStyle w:val="TableParagraph"/>
              <w:contextualSpacing/>
              <w:rPr>
                <w:sz w:val="24"/>
              </w:rPr>
            </w:pPr>
            <w:bookmarkStart w:id="7" w:name="Attn:_Clerks_Office"/>
            <w:bookmarkStart w:id="8" w:name="Maleng_Regional_Justice_Center_"/>
            <w:bookmarkEnd w:id="7"/>
            <w:bookmarkEnd w:id="8"/>
            <w:proofErr w:type="spellStart"/>
            <w:r>
              <w:rPr>
                <w:sz w:val="24"/>
              </w:rPr>
              <w:t>Maleng</w:t>
            </w:r>
            <w:proofErr w:type="spellEnd"/>
            <w:r>
              <w:rPr>
                <w:sz w:val="24"/>
              </w:rPr>
              <w:t xml:space="preserve"> Regional Justice Center </w:t>
            </w:r>
            <w:bookmarkStart w:id="9" w:name="401_Fourth_Avenue_N,_Room_2C"/>
            <w:bookmarkEnd w:id="9"/>
            <w:r w:rsidR="00F216C5">
              <w:rPr>
                <w:sz w:val="24"/>
              </w:rPr>
              <w:br/>
            </w:r>
            <w:r>
              <w:rPr>
                <w:sz w:val="24"/>
              </w:rPr>
              <w:t>Attn: Clerk</w:t>
            </w:r>
            <w:r w:rsidR="00571850">
              <w:rPr>
                <w:sz w:val="24"/>
              </w:rPr>
              <w:t>’</w:t>
            </w:r>
            <w:r>
              <w:rPr>
                <w:sz w:val="24"/>
              </w:rPr>
              <w:t>s Office</w:t>
            </w:r>
          </w:p>
          <w:p w14:paraId="5C7E4366" w14:textId="4C6E9F8F" w:rsidR="00126183" w:rsidRDefault="00E64AB9" w:rsidP="009344BB">
            <w:pPr>
              <w:pStyle w:val="TableParagraph"/>
              <w:contextualSpacing/>
              <w:rPr>
                <w:sz w:val="24"/>
              </w:rPr>
            </w:pPr>
            <w:bookmarkStart w:id="10" w:name="Kent,_WA_98032"/>
            <w:bookmarkEnd w:id="10"/>
            <w:r>
              <w:rPr>
                <w:sz w:val="24"/>
              </w:rPr>
              <w:t xml:space="preserve">401 Fourth Avenue N, Room 2C </w:t>
            </w:r>
            <w:r w:rsidR="00F216C5">
              <w:rPr>
                <w:sz w:val="24"/>
              </w:rPr>
              <w:br/>
            </w:r>
            <w:r>
              <w:rPr>
                <w:sz w:val="24"/>
              </w:rPr>
              <w:t>Kent, WA 98032</w:t>
            </w:r>
          </w:p>
        </w:tc>
      </w:tr>
    </w:tbl>
    <w:p w14:paraId="5C7E4368" w14:textId="77777777" w:rsidR="00126183" w:rsidRDefault="00126183" w:rsidP="009344BB">
      <w:pPr>
        <w:pStyle w:val="BodyText"/>
        <w:contextualSpacing/>
        <w:rPr>
          <w:b/>
        </w:rPr>
      </w:pPr>
    </w:p>
    <w:p w14:paraId="5C7E4369" w14:textId="77777777" w:rsidR="00126183" w:rsidRPr="00694920" w:rsidRDefault="00E64AB9" w:rsidP="3252172E">
      <w:pPr>
        <w:pStyle w:val="BodyText"/>
        <w:contextualSpacing/>
        <w:rPr>
          <w:lang w:val="es-ES"/>
        </w:rPr>
      </w:pPr>
      <w:r w:rsidRPr="3252172E">
        <w:rPr>
          <w:lang w:val="es-ES"/>
        </w:rPr>
        <w:t xml:space="preserve">La Oficina del </w:t>
      </w:r>
      <w:proofErr w:type="gramStart"/>
      <w:r w:rsidRPr="3252172E">
        <w:rPr>
          <w:lang w:val="es-ES"/>
        </w:rPr>
        <w:t>Secretario</w:t>
      </w:r>
      <w:proofErr w:type="gramEnd"/>
      <w:r w:rsidRPr="3252172E">
        <w:rPr>
          <w:lang w:val="es-ES"/>
        </w:rPr>
        <w:t xml:space="preserve"> del Tribunal Superior del Condado de King está abierta de 8:30 a.m. a 4:30 p.m., con servicio limitado entre las 12:15 y las 1:15 p.m.</w:t>
      </w:r>
    </w:p>
    <w:p w14:paraId="5C7E436A" w14:textId="77777777" w:rsidR="00126183" w:rsidRPr="00694920" w:rsidRDefault="00126183" w:rsidP="009344BB">
      <w:pPr>
        <w:pStyle w:val="BodyText"/>
        <w:contextualSpacing/>
        <w:rPr>
          <w:sz w:val="35"/>
          <w:lang w:val="es-ES_tradnl"/>
        </w:rPr>
      </w:pPr>
    </w:p>
    <w:p w14:paraId="5C7E436B" w14:textId="77777777" w:rsidR="00126183" w:rsidRPr="00694920" w:rsidRDefault="00E64AB9" w:rsidP="009344BB">
      <w:pPr>
        <w:pStyle w:val="Heading1"/>
        <w:ind w:left="0"/>
        <w:contextualSpacing/>
        <w:rPr>
          <w:lang w:val="es-ES_tradnl"/>
        </w:rPr>
      </w:pPr>
      <w:bookmarkStart w:id="11" w:name="Delivery_Electronically"/>
      <w:bookmarkEnd w:id="11"/>
      <w:r w:rsidRPr="00694920">
        <w:rPr>
          <w:lang w:val="es-ES_tradnl"/>
        </w:rPr>
        <w:t>Entrega electrónica</w:t>
      </w:r>
    </w:p>
    <w:p w14:paraId="5C7E436C" w14:textId="77777777" w:rsidR="00126183" w:rsidRPr="00694920" w:rsidRDefault="00126183" w:rsidP="009344BB">
      <w:pPr>
        <w:pStyle w:val="BodyText"/>
        <w:contextualSpacing/>
        <w:rPr>
          <w:b/>
          <w:lang w:val="es-ES_tradnl"/>
        </w:rPr>
      </w:pPr>
    </w:p>
    <w:p w14:paraId="5C7E436D" w14:textId="0E0CBEC9" w:rsidR="00126183" w:rsidRDefault="00E64AB9" w:rsidP="3252172E">
      <w:pPr>
        <w:pStyle w:val="BodyText"/>
        <w:contextualSpacing/>
        <w:rPr>
          <w:lang w:val="es-ES"/>
        </w:rPr>
      </w:pPr>
      <w:bookmarkStart w:id="12" w:name="Instructions_on_how_to_“Start_a_new_case"/>
      <w:bookmarkEnd w:id="12"/>
      <w:r w:rsidRPr="3252172E">
        <w:rPr>
          <w:lang w:val="es-ES"/>
        </w:rPr>
        <w:t xml:space="preserve">Puede ver las instrucciones para </w:t>
      </w:r>
      <w:hyperlink r:id="rId14">
        <w:r w:rsidRPr="3252172E">
          <w:rPr>
            <w:color w:val="0000FF"/>
            <w:u w:val="single"/>
            <w:lang w:val="es-ES"/>
          </w:rPr>
          <w:t>"Inicio de un nuevo caso con dispensa de cuotas"</w:t>
        </w:r>
      </w:hyperlink>
      <w:r w:rsidRPr="3252172E">
        <w:rPr>
          <w:color w:val="0000FF"/>
          <w:lang w:val="es-ES"/>
        </w:rPr>
        <w:t xml:space="preserve"> </w:t>
      </w:r>
      <w:r w:rsidRPr="3252172E">
        <w:rPr>
          <w:lang w:val="es-ES"/>
        </w:rPr>
        <w:t xml:space="preserve">en la página "Fees &amp; </w:t>
      </w:r>
      <w:proofErr w:type="spellStart"/>
      <w:r w:rsidRPr="3252172E">
        <w:rPr>
          <w:lang w:val="es-ES"/>
        </w:rPr>
        <w:t>Waiver</w:t>
      </w:r>
      <w:proofErr w:type="spellEnd"/>
      <w:r w:rsidRPr="3252172E">
        <w:rPr>
          <w:lang w:val="es-ES"/>
        </w:rPr>
        <w:t xml:space="preserve">" (Cuotas y exenciones) del secretario en </w:t>
      </w:r>
      <w:hyperlink r:id="rId15">
        <w:r w:rsidR="00A93664" w:rsidRPr="3252172E">
          <w:rPr>
            <w:color w:val="0000FF"/>
            <w:u w:val="single"/>
            <w:lang w:val="es-ES"/>
          </w:rPr>
          <w:t>https://kingcounty.gov/en/dept/dja/courts-jails-legal-system/courts-financial/fees-payments/fee-waiver</w:t>
        </w:r>
      </w:hyperlink>
      <w:r w:rsidRPr="3252172E">
        <w:rPr>
          <w:lang w:val="es-ES"/>
        </w:rPr>
        <w:t>.</w:t>
      </w:r>
    </w:p>
    <w:p w14:paraId="3EA27F97" w14:textId="77777777" w:rsidR="002D6A5F" w:rsidRDefault="002D6A5F" w:rsidP="009344BB">
      <w:pPr>
        <w:pStyle w:val="BodyText"/>
        <w:contextualSpacing/>
        <w:rPr>
          <w:lang w:val="es-ES_tradnl"/>
        </w:rPr>
      </w:pPr>
    </w:p>
    <w:p w14:paraId="1E1B6E65" w14:textId="77777777" w:rsidR="002D6A5F" w:rsidRDefault="002D6A5F" w:rsidP="009344BB">
      <w:pPr>
        <w:pStyle w:val="BodyText"/>
        <w:contextualSpacing/>
        <w:rPr>
          <w:lang w:val="es-ES_tradnl"/>
        </w:rPr>
      </w:pPr>
    </w:p>
    <w:p w14:paraId="0E2BC2D8" w14:textId="77777777" w:rsidR="002D6A5F" w:rsidRDefault="002D6A5F" w:rsidP="009344BB">
      <w:pPr>
        <w:pStyle w:val="BodyText"/>
        <w:contextualSpacing/>
        <w:rPr>
          <w:lang w:val="es-ES_tradnl"/>
        </w:rPr>
      </w:pPr>
    </w:p>
    <w:p w14:paraId="59B6BD0C" w14:textId="77777777" w:rsidR="002D6A5F" w:rsidRDefault="002D6A5F" w:rsidP="009344BB">
      <w:pPr>
        <w:pStyle w:val="BodyText"/>
        <w:contextualSpacing/>
        <w:rPr>
          <w:lang w:val="es-ES_tradnl"/>
        </w:rPr>
      </w:pPr>
    </w:p>
    <w:p w14:paraId="7B920C3A" w14:textId="2CDAB6C8" w:rsidR="002D6A5F" w:rsidRPr="002D6A5F" w:rsidRDefault="00E90240" w:rsidP="009344BB">
      <w:pPr>
        <w:pStyle w:val="BodyText"/>
        <w:contextualSpacing/>
        <w:rPr>
          <w:sz w:val="28"/>
          <w:szCs w:val="28"/>
          <w:lang w:val="es-ES_tradnl"/>
        </w:rPr>
      </w:pPr>
      <w:hyperlink r:id="rId16" w:history="1">
        <w:r w:rsidR="002D6A5F" w:rsidRPr="002D6A5F">
          <w:rPr>
            <w:rStyle w:val="Hyperlink"/>
            <w:sz w:val="28"/>
            <w:szCs w:val="28"/>
            <w:lang w:val="es-ES_tradnl"/>
          </w:rPr>
          <w:t>Enviar sus comentarios acerca de esta traducción</w:t>
        </w:r>
      </w:hyperlink>
    </w:p>
    <w:sectPr w:rsidR="002D6A5F" w:rsidRPr="002D6A5F" w:rsidSect="009F0F02">
      <w:footerReference w:type="default" r:id="rId17"/>
      <w:headerReference w:type="first" r:id="rId18"/>
      <w:footerReference w:type="first" r:id="rId19"/>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8FFF" w14:textId="77777777" w:rsidR="00F45475" w:rsidRDefault="00F45475">
      <w:r>
        <w:separator/>
      </w:r>
    </w:p>
  </w:endnote>
  <w:endnote w:type="continuationSeparator" w:id="0">
    <w:p w14:paraId="09B9A825" w14:textId="77777777" w:rsidR="00F45475" w:rsidRDefault="00F45475">
      <w:r>
        <w:continuationSeparator/>
      </w:r>
    </w:p>
  </w:endnote>
  <w:endnote w:type="continuationNotice" w:id="1">
    <w:p w14:paraId="5101EF02" w14:textId="77777777" w:rsidR="0089425D" w:rsidRDefault="00894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436F" w14:textId="57B97D5E" w:rsidR="00126183" w:rsidRPr="009A4CF9" w:rsidRDefault="009A4CF9" w:rsidP="009A4CF9">
    <w:pPr>
      <w:pStyle w:val="Footer"/>
      <w:rPr>
        <w:rFonts w:ascii="Open Sans" w:hAnsi="Open Sans" w:cs="Open Sans"/>
      </w:rPr>
    </w:pPr>
    <w:r w:rsidRPr="00762276">
      <w:rPr>
        <w:rFonts w:ascii="Open Sans" w:hAnsi="Open Sans" w:cs="Open Sans"/>
      </w:rPr>
      <w:t>Instructions for Motion and Order to Waive Filing Fees</w:t>
    </w:r>
    <w:r w:rsidR="00CF0E1A">
      <w:rPr>
        <w:rFonts w:ascii="Open Sans" w:hAnsi="Open Sans" w:cs="Open Sans"/>
      </w:rPr>
      <w:t xml:space="preserve">                  </w:t>
    </w:r>
    <w:r w:rsidRPr="00762276">
      <w:rPr>
        <w:rFonts w:ascii="Open Sans" w:hAnsi="Open Sans" w:cs="Open Sans"/>
      </w:rPr>
      <w:t xml:space="preserve">                            Last Updated </w:t>
    </w:r>
    <w:r w:rsidR="00E90240">
      <w:rPr>
        <w:rFonts w:ascii="Open Sans" w:hAnsi="Open Sans" w:cs="Open Sans"/>
      </w:rPr>
      <w:t>1/15/2025</w:t>
    </w:r>
    <w:r w:rsidRPr="00762276">
      <w:rPr>
        <w:rFonts w:ascii="Open Sans" w:hAnsi="Open Sans" w:cs="Open Sans"/>
      </w:rPr>
      <w:fldChar w:fldCharType="begin"/>
    </w:r>
    <w:r w:rsidRPr="00762276">
      <w:rPr>
        <w:rFonts w:ascii="Open Sans" w:hAnsi="Open Sans" w:cs="Open Sans"/>
      </w:rPr>
      <w:instrText xml:space="preserve"> DATE   \* MERGEFORMAT </w:instrText>
    </w:r>
    <w:r w:rsidRPr="00762276">
      <w:rPr>
        <w:rFonts w:ascii="Open Sans" w:hAnsi="Open Sans" w:cs="Open Sans"/>
      </w:rPr>
      <w:fldChar w:fldCharType="separate"/>
    </w:r>
    <w:r w:rsidRPr="00762276">
      <w:rPr>
        <w:rFonts w:ascii="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FBC3" w14:textId="103E7D9D" w:rsidR="009A4CF9" w:rsidRPr="009A4CF9" w:rsidRDefault="009A4CF9">
    <w:pPr>
      <w:pStyle w:val="Footer"/>
      <w:rPr>
        <w:rFonts w:ascii="Open Sans" w:hAnsi="Open Sans" w:cs="Open Sans"/>
      </w:rPr>
    </w:pPr>
    <w:r w:rsidRPr="00762276">
      <w:rPr>
        <w:rFonts w:ascii="Open Sans" w:hAnsi="Open Sans" w:cs="Open Sans"/>
      </w:rPr>
      <w:t>Instructions for Motion and Order to Waive Filing Fees</w:t>
    </w:r>
    <w:r w:rsidR="00CF0E1A">
      <w:rPr>
        <w:rFonts w:ascii="Open Sans" w:hAnsi="Open Sans" w:cs="Open Sans"/>
      </w:rPr>
      <w:t xml:space="preserve">                  </w:t>
    </w:r>
    <w:r w:rsidRPr="00762276">
      <w:rPr>
        <w:rFonts w:ascii="Open Sans" w:hAnsi="Open Sans" w:cs="Open Sans"/>
      </w:rPr>
      <w:t xml:space="preserve">                            Last Updated </w:t>
    </w:r>
    <w:r w:rsidR="00E90240">
      <w:rPr>
        <w:rFonts w:ascii="Open Sans" w:hAnsi="Open Sans" w:cs="Open Sans"/>
      </w:rPr>
      <w:t>1/15/2025</w:t>
    </w:r>
    <w:r w:rsidRPr="00762276">
      <w:rPr>
        <w:rFonts w:ascii="Open Sans" w:hAnsi="Open Sans" w:cs="Open Sans"/>
      </w:rPr>
      <w:fldChar w:fldCharType="begin"/>
    </w:r>
    <w:r w:rsidRPr="00762276">
      <w:rPr>
        <w:rFonts w:ascii="Open Sans" w:hAnsi="Open Sans" w:cs="Open Sans"/>
      </w:rPr>
      <w:instrText xml:space="preserve"> DATE   \* MERGEFORMAT </w:instrText>
    </w:r>
    <w:r w:rsidRPr="00762276">
      <w:rPr>
        <w:rFonts w:ascii="Open Sans" w:hAnsi="Open Sans" w:cs="Open Sans"/>
      </w:rPr>
      <w:fldChar w:fldCharType="separate"/>
    </w:r>
    <w:r w:rsidRPr="00762276">
      <w:rPr>
        <w:rFonts w:ascii="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D957F" w14:textId="77777777" w:rsidR="00F45475" w:rsidRDefault="00F45475">
      <w:r>
        <w:separator/>
      </w:r>
    </w:p>
  </w:footnote>
  <w:footnote w:type="continuationSeparator" w:id="0">
    <w:p w14:paraId="2F9BCA91" w14:textId="77777777" w:rsidR="00F45475" w:rsidRDefault="00F45475">
      <w:r>
        <w:continuationSeparator/>
      </w:r>
    </w:p>
  </w:footnote>
  <w:footnote w:type="continuationNotice" w:id="1">
    <w:p w14:paraId="5BFB2C9B" w14:textId="77777777" w:rsidR="0089425D" w:rsidRDefault="00894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006A" w14:textId="38CAFC8E" w:rsidR="009F0F02" w:rsidRPr="009F0F02" w:rsidRDefault="009F0F02" w:rsidP="009F0F02">
    <w:pPr>
      <w:pStyle w:val="BodyText"/>
      <w:contextualSpacing/>
      <w:rPr>
        <w:rFonts w:ascii="Open Sans" w:hAnsi="Open Sans" w:cs="Open Sans"/>
        <w:sz w:val="22"/>
        <w:szCs w:val="22"/>
      </w:rPr>
    </w:pPr>
    <w:r w:rsidRPr="009F0F02">
      <w:rPr>
        <w:rFonts w:ascii="Open Sans" w:hAnsi="Open Sans" w:cs="Open Sans"/>
        <w:noProof/>
        <w:sz w:val="22"/>
        <w:szCs w:val="22"/>
      </w:rPr>
      <w:drawing>
        <wp:anchor distT="0" distB="0" distL="0" distR="0" simplePos="0" relativeHeight="251658240" behindDoc="1" locked="0" layoutInCell="1" allowOverlap="1" wp14:anchorId="36F7C0C5" wp14:editId="5E479D8A">
          <wp:simplePos x="0" y="0"/>
          <wp:positionH relativeFrom="margin">
            <wp:align>left</wp:align>
          </wp:positionH>
          <wp:positionV relativeFrom="page">
            <wp:posOffset>371827</wp:posOffset>
          </wp:positionV>
          <wp:extent cx="1918333" cy="388267"/>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8333" cy="388267"/>
                  </a:xfrm>
                  <a:prstGeom prst="rect">
                    <a:avLst/>
                  </a:prstGeom>
                </pic:spPr>
              </pic:pic>
            </a:graphicData>
          </a:graphic>
        </wp:anchor>
      </w:drawing>
    </w:r>
  </w:p>
  <w:p w14:paraId="4F35B934" w14:textId="77777777" w:rsidR="009F0F02" w:rsidRPr="009F0F02" w:rsidRDefault="009F0F02" w:rsidP="009F0F02">
    <w:pPr>
      <w:pStyle w:val="Header"/>
      <w:contextualSpacing/>
      <w:rPr>
        <w:rFonts w:ascii="Open Sans" w:hAnsi="Open Sans" w:cs="Open Sans"/>
        <w:sz w:val="12"/>
        <w:szCs w:val="12"/>
        <w:lang w:val="es-ES_tradnl"/>
      </w:rPr>
    </w:pPr>
  </w:p>
  <w:p w14:paraId="325A22A4" w14:textId="48DFDD33" w:rsidR="009F0F02" w:rsidRPr="009F0F02" w:rsidRDefault="3252172E" w:rsidP="3252172E">
    <w:pPr>
      <w:pStyle w:val="Header"/>
      <w:contextualSpacing/>
      <w:rPr>
        <w:rFonts w:ascii="Open Sans" w:hAnsi="Open Sans" w:cs="Open Sans"/>
        <w:lang w:val="es-ES"/>
      </w:rPr>
    </w:pPr>
    <w:r w:rsidRPr="3252172E">
      <w:rPr>
        <w:rFonts w:ascii="Open Sans" w:hAnsi="Open Sans" w:cs="Open Sans"/>
        <w:lang w:val="es-ES"/>
      </w:rPr>
      <w:t xml:space="preserve">Oficina del </w:t>
    </w:r>
    <w:proofErr w:type="gramStart"/>
    <w:r w:rsidRPr="3252172E">
      <w:rPr>
        <w:rFonts w:ascii="Open Sans" w:hAnsi="Open Sans" w:cs="Open Sans"/>
        <w:lang w:val="es-ES"/>
      </w:rPr>
      <w:t>Secretario</w:t>
    </w:r>
    <w:proofErr w:type="gramEnd"/>
    <w:r w:rsidRPr="3252172E">
      <w:rPr>
        <w:rFonts w:ascii="Open Sans" w:hAnsi="Open Sans" w:cs="Open Sans"/>
        <w:lang w:val="es-ES"/>
      </w:rPr>
      <w:t xml:space="preserve"> del Tribunal Superior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A2472"/>
    <w:multiLevelType w:val="hybridMultilevel"/>
    <w:tmpl w:val="A7D4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70210"/>
    <w:multiLevelType w:val="hybridMultilevel"/>
    <w:tmpl w:val="B3CE581A"/>
    <w:lvl w:ilvl="0" w:tplc="438A86A8">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1" w:tplc="413AC8FE">
      <w:numFmt w:val="bullet"/>
      <w:lvlText w:val="•"/>
      <w:lvlJc w:val="left"/>
      <w:pPr>
        <w:ind w:left="1958" w:hanging="360"/>
      </w:pPr>
      <w:rPr>
        <w:rFonts w:hint="default"/>
        <w:lang w:val="en-US" w:eastAsia="en-US" w:bidi="ar-SA"/>
      </w:rPr>
    </w:lvl>
    <w:lvl w:ilvl="2" w:tplc="41CECA5A">
      <w:numFmt w:val="bullet"/>
      <w:lvlText w:val="•"/>
      <w:lvlJc w:val="left"/>
      <w:pPr>
        <w:ind w:left="2936" w:hanging="360"/>
      </w:pPr>
      <w:rPr>
        <w:rFonts w:hint="default"/>
        <w:lang w:val="en-US" w:eastAsia="en-US" w:bidi="ar-SA"/>
      </w:rPr>
    </w:lvl>
    <w:lvl w:ilvl="3" w:tplc="6DC20808">
      <w:numFmt w:val="bullet"/>
      <w:lvlText w:val="•"/>
      <w:lvlJc w:val="left"/>
      <w:pPr>
        <w:ind w:left="3914" w:hanging="360"/>
      </w:pPr>
      <w:rPr>
        <w:rFonts w:hint="default"/>
        <w:lang w:val="en-US" w:eastAsia="en-US" w:bidi="ar-SA"/>
      </w:rPr>
    </w:lvl>
    <w:lvl w:ilvl="4" w:tplc="7E34F6B8">
      <w:numFmt w:val="bullet"/>
      <w:lvlText w:val="•"/>
      <w:lvlJc w:val="left"/>
      <w:pPr>
        <w:ind w:left="4892" w:hanging="360"/>
      </w:pPr>
      <w:rPr>
        <w:rFonts w:hint="default"/>
        <w:lang w:val="en-US" w:eastAsia="en-US" w:bidi="ar-SA"/>
      </w:rPr>
    </w:lvl>
    <w:lvl w:ilvl="5" w:tplc="7FA66A46">
      <w:numFmt w:val="bullet"/>
      <w:lvlText w:val="•"/>
      <w:lvlJc w:val="left"/>
      <w:pPr>
        <w:ind w:left="5870" w:hanging="360"/>
      </w:pPr>
      <w:rPr>
        <w:rFonts w:hint="default"/>
        <w:lang w:val="en-US" w:eastAsia="en-US" w:bidi="ar-SA"/>
      </w:rPr>
    </w:lvl>
    <w:lvl w:ilvl="6" w:tplc="73E6B690">
      <w:numFmt w:val="bullet"/>
      <w:lvlText w:val="•"/>
      <w:lvlJc w:val="left"/>
      <w:pPr>
        <w:ind w:left="6848" w:hanging="360"/>
      </w:pPr>
      <w:rPr>
        <w:rFonts w:hint="default"/>
        <w:lang w:val="en-US" w:eastAsia="en-US" w:bidi="ar-SA"/>
      </w:rPr>
    </w:lvl>
    <w:lvl w:ilvl="7" w:tplc="2C460322">
      <w:numFmt w:val="bullet"/>
      <w:lvlText w:val="•"/>
      <w:lvlJc w:val="left"/>
      <w:pPr>
        <w:ind w:left="7826" w:hanging="360"/>
      </w:pPr>
      <w:rPr>
        <w:rFonts w:hint="default"/>
        <w:lang w:val="en-US" w:eastAsia="en-US" w:bidi="ar-SA"/>
      </w:rPr>
    </w:lvl>
    <w:lvl w:ilvl="8" w:tplc="A790E876">
      <w:numFmt w:val="bullet"/>
      <w:lvlText w:val="•"/>
      <w:lvlJc w:val="left"/>
      <w:pPr>
        <w:ind w:left="8804" w:hanging="360"/>
      </w:pPr>
      <w:rPr>
        <w:rFonts w:hint="default"/>
        <w:lang w:val="en-US" w:eastAsia="en-US" w:bidi="ar-SA"/>
      </w:rPr>
    </w:lvl>
  </w:abstractNum>
  <w:abstractNum w:abstractNumId="2" w15:restartNumberingAfterBreak="0">
    <w:nsid w:val="3EA62F4F"/>
    <w:multiLevelType w:val="hybridMultilevel"/>
    <w:tmpl w:val="336E4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C2B3F"/>
    <w:multiLevelType w:val="hybridMultilevel"/>
    <w:tmpl w:val="9BFA4A3E"/>
    <w:lvl w:ilvl="0" w:tplc="8898C790">
      <w:start w:val="1"/>
      <w:numFmt w:val="decimal"/>
      <w:lvlText w:val="%1."/>
      <w:lvlJc w:val="left"/>
      <w:pPr>
        <w:ind w:left="1256" w:hanging="269"/>
      </w:pPr>
      <w:rPr>
        <w:rFonts w:ascii="Arial" w:eastAsia="Arial" w:hAnsi="Arial" w:cs="Arial" w:hint="default"/>
        <w:b w:val="0"/>
        <w:bCs w:val="0"/>
        <w:i w:val="0"/>
        <w:iCs w:val="0"/>
        <w:spacing w:val="-1"/>
        <w:w w:val="100"/>
        <w:sz w:val="24"/>
        <w:szCs w:val="24"/>
        <w:lang w:val="en-US" w:eastAsia="en-US" w:bidi="ar-SA"/>
      </w:rPr>
    </w:lvl>
    <w:lvl w:ilvl="1" w:tplc="53FA2F2A">
      <w:numFmt w:val="bullet"/>
      <w:lvlText w:val="•"/>
      <w:lvlJc w:val="left"/>
      <w:pPr>
        <w:ind w:left="2210" w:hanging="269"/>
      </w:pPr>
      <w:rPr>
        <w:rFonts w:hint="default"/>
        <w:lang w:val="en-US" w:eastAsia="en-US" w:bidi="ar-SA"/>
      </w:rPr>
    </w:lvl>
    <w:lvl w:ilvl="2" w:tplc="AA96D946">
      <w:numFmt w:val="bullet"/>
      <w:lvlText w:val="•"/>
      <w:lvlJc w:val="left"/>
      <w:pPr>
        <w:ind w:left="3160" w:hanging="269"/>
      </w:pPr>
      <w:rPr>
        <w:rFonts w:hint="default"/>
        <w:lang w:val="en-US" w:eastAsia="en-US" w:bidi="ar-SA"/>
      </w:rPr>
    </w:lvl>
    <w:lvl w:ilvl="3" w:tplc="DCA0A95A">
      <w:numFmt w:val="bullet"/>
      <w:lvlText w:val="•"/>
      <w:lvlJc w:val="left"/>
      <w:pPr>
        <w:ind w:left="4110" w:hanging="269"/>
      </w:pPr>
      <w:rPr>
        <w:rFonts w:hint="default"/>
        <w:lang w:val="en-US" w:eastAsia="en-US" w:bidi="ar-SA"/>
      </w:rPr>
    </w:lvl>
    <w:lvl w:ilvl="4" w:tplc="5712E828">
      <w:numFmt w:val="bullet"/>
      <w:lvlText w:val="•"/>
      <w:lvlJc w:val="left"/>
      <w:pPr>
        <w:ind w:left="5060" w:hanging="269"/>
      </w:pPr>
      <w:rPr>
        <w:rFonts w:hint="default"/>
        <w:lang w:val="en-US" w:eastAsia="en-US" w:bidi="ar-SA"/>
      </w:rPr>
    </w:lvl>
    <w:lvl w:ilvl="5" w:tplc="F0E627D0">
      <w:numFmt w:val="bullet"/>
      <w:lvlText w:val="•"/>
      <w:lvlJc w:val="left"/>
      <w:pPr>
        <w:ind w:left="6010" w:hanging="269"/>
      </w:pPr>
      <w:rPr>
        <w:rFonts w:hint="default"/>
        <w:lang w:val="en-US" w:eastAsia="en-US" w:bidi="ar-SA"/>
      </w:rPr>
    </w:lvl>
    <w:lvl w:ilvl="6" w:tplc="ADDA04A2">
      <w:numFmt w:val="bullet"/>
      <w:lvlText w:val="•"/>
      <w:lvlJc w:val="left"/>
      <w:pPr>
        <w:ind w:left="6960" w:hanging="269"/>
      </w:pPr>
      <w:rPr>
        <w:rFonts w:hint="default"/>
        <w:lang w:val="en-US" w:eastAsia="en-US" w:bidi="ar-SA"/>
      </w:rPr>
    </w:lvl>
    <w:lvl w:ilvl="7" w:tplc="23C6E5AC">
      <w:numFmt w:val="bullet"/>
      <w:lvlText w:val="•"/>
      <w:lvlJc w:val="left"/>
      <w:pPr>
        <w:ind w:left="7910" w:hanging="269"/>
      </w:pPr>
      <w:rPr>
        <w:rFonts w:hint="default"/>
        <w:lang w:val="en-US" w:eastAsia="en-US" w:bidi="ar-SA"/>
      </w:rPr>
    </w:lvl>
    <w:lvl w:ilvl="8" w:tplc="B6D8EA42">
      <w:numFmt w:val="bullet"/>
      <w:lvlText w:val="•"/>
      <w:lvlJc w:val="left"/>
      <w:pPr>
        <w:ind w:left="8860" w:hanging="269"/>
      </w:pPr>
      <w:rPr>
        <w:rFonts w:hint="default"/>
        <w:lang w:val="en-US" w:eastAsia="en-US" w:bidi="ar-SA"/>
      </w:rPr>
    </w:lvl>
  </w:abstractNum>
  <w:num w:numId="1" w16cid:durableId="1256747427">
    <w:abstractNumId w:val="3"/>
  </w:num>
  <w:num w:numId="2" w16cid:durableId="156727015">
    <w:abstractNumId w:val="1"/>
  </w:num>
  <w:num w:numId="3" w16cid:durableId="590241700">
    <w:abstractNumId w:val="0"/>
  </w:num>
  <w:num w:numId="4" w16cid:durableId="96759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26183"/>
    <w:rsid w:val="000F7FE1"/>
    <w:rsid w:val="00115C2F"/>
    <w:rsid w:val="00126183"/>
    <w:rsid w:val="001D426D"/>
    <w:rsid w:val="002D6A5F"/>
    <w:rsid w:val="00363D71"/>
    <w:rsid w:val="003C0AD1"/>
    <w:rsid w:val="00500F47"/>
    <w:rsid w:val="00571850"/>
    <w:rsid w:val="00694920"/>
    <w:rsid w:val="006A5B66"/>
    <w:rsid w:val="006F60DA"/>
    <w:rsid w:val="00837E8E"/>
    <w:rsid w:val="0089425D"/>
    <w:rsid w:val="00915037"/>
    <w:rsid w:val="009344BB"/>
    <w:rsid w:val="009A4CF9"/>
    <w:rsid w:val="009B2283"/>
    <w:rsid w:val="009F0F02"/>
    <w:rsid w:val="00A61F31"/>
    <w:rsid w:val="00A93664"/>
    <w:rsid w:val="00A9676E"/>
    <w:rsid w:val="00C669FC"/>
    <w:rsid w:val="00CF0E1A"/>
    <w:rsid w:val="00E64AB9"/>
    <w:rsid w:val="00E90240"/>
    <w:rsid w:val="00ED371E"/>
    <w:rsid w:val="00F216C5"/>
    <w:rsid w:val="00F41BD1"/>
    <w:rsid w:val="00F45475"/>
    <w:rsid w:val="325217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4300"/>
  <w15:docId w15:val="{A80F36EA-DDDE-4FA1-8F4D-CB2C3936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9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1F31"/>
    <w:pPr>
      <w:tabs>
        <w:tab w:val="center" w:pos="4680"/>
        <w:tab w:val="right" w:pos="9360"/>
      </w:tabs>
    </w:pPr>
  </w:style>
  <w:style w:type="character" w:customStyle="1" w:styleId="HeaderChar">
    <w:name w:val="Header Char"/>
    <w:basedOn w:val="DefaultParagraphFont"/>
    <w:link w:val="Header"/>
    <w:uiPriority w:val="99"/>
    <w:rsid w:val="00A61F31"/>
    <w:rPr>
      <w:rFonts w:ascii="Arial" w:eastAsia="Arial" w:hAnsi="Arial" w:cs="Arial"/>
    </w:rPr>
  </w:style>
  <w:style w:type="paragraph" w:styleId="Footer">
    <w:name w:val="footer"/>
    <w:basedOn w:val="Normal"/>
    <w:link w:val="FooterChar"/>
    <w:uiPriority w:val="99"/>
    <w:unhideWhenUsed/>
    <w:rsid w:val="00A61F31"/>
    <w:pPr>
      <w:tabs>
        <w:tab w:val="center" w:pos="4680"/>
        <w:tab w:val="right" w:pos="9360"/>
      </w:tabs>
    </w:pPr>
  </w:style>
  <w:style w:type="character" w:customStyle="1" w:styleId="FooterChar">
    <w:name w:val="Footer Char"/>
    <w:basedOn w:val="DefaultParagraphFont"/>
    <w:link w:val="Footer"/>
    <w:uiPriority w:val="99"/>
    <w:rsid w:val="00A61F31"/>
    <w:rPr>
      <w:rFonts w:ascii="Arial" w:eastAsia="Arial" w:hAnsi="Arial" w:cs="Arial"/>
    </w:rPr>
  </w:style>
  <w:style w:type="character" w:customStyle="1" w:styleId="BodyTextChar">
    <w:name w:val="Body Text Char"/>
    <w:basedOn w:val="DefaultParagraphFont"/>
    <w:link w:val="BodyText"/>
    <w:uiPriority w:val="1"/>
    <w:rsid w:val="009F0F02"/>
    <w:rPr>
      <w:rFonts w:ascii="Arial" w:eastAsia="Arial" w:hAnsi="Arial" w:cs="Arial"/>
      <w:sz w:val="24"/>
      <w:szCs w:val="24"/>
    </w:rPr>
  </w:style>
  <w:style w:type="character" w:styleId="Hyperlink">
    <w:name w:val="Hyperlink"/>
    <w:basedOn w:val="DefaultParagraphFont"/>
    <w:uiPriority w:val="99"/>
    <w:unhideWhenUsed/>
    <w:rsid w:val="002D6A5F"/>
    <w:rPr>
      <w:color w:val="0000FF" w:themeColor="hyperlink"/>
      <w:u w:val="single"/>
    </w:rPr>
  </w:style>
  <w:style w:type="character" w:styleId="UnresolvedMention">
    <w:name w:val="Unresolved Mention"/>
    <w:basedOn w:val="DefaultParagraphFont"/>
    <w:uiPriority w:val="99"/>
    <w:semiHidden/>
    <w:unhideWhenUsed/>
    <w:rsid w:val="002D6A5F"/>
    <w:rPr>
      <w:color w:val="605E5C"/>
      <w:shd w:val="clear" w:color="auto" w:fill="E1DFDD"/>
    </w:rPr>
  </w:style>
  <w:style w:type="paragraph" w:customStyle="1" w:styleId="paragraph">
    <w:name w:val="paragraph"/>
    <w:basedOn w:val="Normal"/>
    <w:rsid w:val="00ED371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D371E"/>
  </w:style>
  <w:style w:type="character" w:customStyle="1" w:styleId="eop">
    <w:name w:val="eop"/>
    <w:basedOn w:val="DefaultParagraphFont"/>
    <w:rsid w:val="00ED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93967">
      <w:bodyDiv w:val="1"/>
      <w:marLeft w:val="0"/>
      <w:marRight w:val="0"/>
      <w:marTop w:val="0"/>
      <w:marBottom w:val="0"/>
      <w:divBdr>
        <w:top w:val="none" w:sz="0" w:space="0" w:color="auto"/>
        <w:left w:val="none" w:sz="0" w:space="0" w:color="auto"/>
        <w:bottom w:val="none" w:sz="0" w:space="0" w:color="auto"/>
        <w:right w:val="none" w:sz="0" w:space="0" w:color="auto"/>
      </w:divBdr>
    </w:div>
    <w:div w:id="1908563959">
      <w:bodyDiv w:val="1"/>
      <w:marLeft w:val="0"/>
      <w:marRight w:val="0"/>
      <w:marTop w:val="0"/>
      <w:marBottom w:val="0"/>
      <w:divBdr>
        <w:top w:val="none" w:sz="0" w:space="0" w:color="auto"/>
        <w:left w:val="none" w:sz="0" w:space="0" w:color="auto"/>
        <w:bottom w:val="none" w:sz="0" w:space="0" w:color="auto"/>
        <w:right w:val="none" w:sz="0" w:space="0" w:color="auto"/>
      </w:divBdr>
      <w:divsChild>
        <w:div w:id="12270789">
          <w:marLeft w:val="0"/>
          <w:marRight w:val="0"/>
          <w:marTop w:val="0"/>
          <w:marBottom w:val="0"/>
          <w:divBdr>
            <w:top w:val="none" w:sz="0" w:space="0" w:color="auto"/>
            <w:left w:val="none" w:sz="0" w:space="0" w:color="auto"/>
            <w:bottom w:val="none" w:sz="0" w:space="0" w:color="auto"/>
            <w:right w:val="none" w:sz="0" w:space="0" w:color="auto"/>
          </w:divBdr>
          <w:divsChild>
            <w:div w:id="1261833178">
              <w:marLeft w:val="0"/>
              <w:marRight w:val="0"/>
              <w:marTop w:val="0"/>
              <w:marBottom w:val="0"/>
              <w:divBdr>
                <w:top w:val="none" w:sz="0" w:space="0" w:color="auto"/>
                <w:left w:val="none" w:sz="0" w:space="0" w:color="auto"/>
                <w:bottom w:val="none" w:sz="0" w:space="0" w:color="auto"/>
                <w:right w:val="none" w:sz="0" w:space="0" w:color="auto"/>
              </w:divBdr>
            </w:div>
          </w:divsChild>
        </w:div>
        <w:div w:id="128060316">
          <w:marLeft w:val="0"/>
          <w:marRight w:val="0"/>
          <w:marTop w:val="0"/>
          <w:marBottom w:val="0"/>
          <w:divBdr>
            <w:top w:val="none" w:sz="0" w:space="0" w:color="auto"/>
            <w:left w:val="none" w:sz="0" w:space="0" w:color="auto"/>
            <w:bottom w:val="none" w:sz="0" w:space="0" w:color="auto"/>
            <w:right w:val="none" w:sz="0" w:space="0" w:color="auto"/>
          </w:divBdr>
          <w:divsChild>
            <w:div w:id="1647123451">
              <w:marLeft w:val="0"/>
              <w:marRight w:val="0"/>
              <w:marTop w:val="0"/>
              <w:marBottom w:val="0"/>
              <w:divBdr>
                <w:top w:val="none" w:sz="0" w:space="0" w:color="auto"/>
                <w:left w:val="none" w:sz="0" w:space="0" w:color="auto"/>
                <w:bottom w:val="none" w:sz="0" w:space="0" w:color="auto"/>
                <w:right w:val="none" w:sz="0" w:space="0" w:color="auto"/>
              </w:divBdr>
            </w:div>
            <w:div w:id="2128960847">
              <w:marLeft w:val="0"/>
              <w:marRight w:val="0"/>
              <w:marTop w:val="0"/>
              <w:marBottom w:val="0"/>
              <w:divBdr>
                <w:top w:val="none" w:sz="0" w:space="0" w:color="auto"/>
                <w:left w:val="none" w:sz="0" w:space="0" w:color="auto"/>
                <w:bottom w:val="none" w:sz="0" w:space="0" w:color="auto"/>
                <w:right w:val="none" w:sz="0" w:space="0" w:color="auto"/>
              </w:divBdr>
            </w:div>
          </w:divsChild>
        </w:div>
        <w:div w:id="255868776">
          <w:marLeft w:val="0"/>
          <w:marRight w:val="0"/>
          <w:marTop w:val="0"/>
          <w:marBottom w:val="0"/>
          <w:divBdr>
            <w:top w:val="none" w:sz="0" w:space="0" w:color="auto"/>
            <w:left w:val="none" w:sz="0" w:space="0" w:color="auto"/>
            <w:bottom w:val="none" w:sz="0" w:space="0" w:color="auto"/>
            <w:right w:val="none" w:sz="0" w:space="0" w:color="auto"/>
          </w:divBdr>
          <w:divsChild>
            <w:div w:id="2037072004">
              <w:marLeft w:val="0"/>
              <w:marRight w:val="0"/>
              <w:marTop w:val="0"/>
              <w:marBottom w:val="0"/>
              <w:divBdr>
                <w:top w:val="none" w:sz="0" w:space="0" w:color="auto"/>
                <w:left w:val="none" w:sz="0" w:space="0" w:color="auto"/>
                <w:bottom w:val="none" w:sz="0" w:space="0" w:color="auto"/>
                <w:right w:val="none" w:sz="0" w:space="0" w:color="auto"/>
              </w:divBdr>
            </w:div>
          </w:divsChild>
        </w:div>
        <w:div w:id="406541485">
          <w:marLeft w:val="0"/>
          <w:marRight w:val="0"/>
          <w:marTop w:val="0"/>
          <w:marBottom w:val="0"/>
          <w:divBdr>
            <w:top w:val="none" w:sz="0" w:space="0" w:color="auto"/>
            <w:left w:val="none" w:sz="0" w:space="0" w:color="auto"/>
            <w:bottom w:val="none" w:sz="0" w:space="0" w:color="auto"/>
            <w:right w:val="none" w:sz="0" w:space="0" w:color="auto"/>
          </w:divBdr>
          <w:divsChild>
            <w:div w:id="292559757">
              <w:marLeft w:val="0"/>
              <w:marRight w:val="0"/>
              <w:marTop w:val="0"/>
              <w:marBottom w:val="0"/>
              <w:divBdr>
                <w:top w:val="none" w:sz="0" w:space="0" w:color="auto"/>
                <w:left w:val="none" w:sz="0" w:space="0" w:color="auto"/>
                <w:bottom w:val="none" w:sz="0" w:space="0" w:color="auto"/>
                <w:right w:val="none" w:sz="0" w:space="0" w:color="auto"/>
              </w:divBdr>
            </w:div>
            <w:div w:id="1642880407">
              <w:marLeft w:val="0"/>
              <w:marRight w:val="0"/>
              <w:marTop w:val="0"/>
              <w:marBottom w:val="0"/>
              <w:divBdr>
                <w:top w:val="none" w:sz="0" w:space="0" w:color="auto"/>
                <w:left w:val="none" w:sz="0" w:space="0" w:color="auto"/>
                <w:bottom w:val="none" w:sz="0" w:space="0" w:color="auto"/>
                <w:right w:val="none" w:sz="0" w:space="0" w:color="auto"/>
              </w:divBdr>
            </w:div>
          </w:divsChild>
        </w:div>
        <w:div w:id="526793216">
          <w:marLeft w:val="0"/>
          <w:marRight w:val="0"/>
          <w:marTop w:val="0"/>
          <w:marBottom w:val="0"/>
          <w:divBdr>
            <w:top w:val="none" w:sz="0" w:space="0" w:color="auto"/>
            <w:left w:val="none" w:sz="0" w:space="0" w:color="auto"/>
            <w:bottom w:val="none" w:sz="0" w:space="0" w:color="auto"/>
            <w:right w:val="none" w:sz="0" w:space="0" w:color="auto"/>
          </w:divBdr>
          <w:divsChild>
            <w:div w:id="40252448">
              <w:marLeft w:val="0"/>
              <w:marRight w:val="0"/>
              <w:marTop w:val="0"/>
              <w:marBottom w:val="0"/>
              <w:divBdr>
                <w:top w:val="none" w:sz="0" w:space="0" w:color="auto"/>
                <w:left w:val="none" w:sz="0" w:space="0" w:color="auto"/>
                <w:bottom w:val="none" w:sz="0" w:space="0" w:color="auto"/>
                <w:right w:val="none" w:sz="0" w:space="0" w:color="auto"/>
              </w:divBdr>
            </w:div>
            <w:div w:id="941687362">
              <w:marLeft w:val="0"/>
              <w:marRight w:val="0"/>
              <w:marTop w:val="0"/>
              <w:marBottom w:val="0"/>
              <w:divBdr>
                <w:top w:val="none" w:sz="0" w:space="0" w:color="auto"/>
                <w:left w:val="none" w:sz="0" w:space="0" w:color="auto"/>
                <w:bottom w:val="none" w:sz="0" w:space="0" w:color="auto"/>
                <w:right w:val="none" w:sz="0" w:space="0" w:color="auto"/>
              </w:divBdr>
            </w:div>
          </w:divsChild>
        </w:div>
        <w:div w:id="662469799">
          <w:marLeft w:val="0"/>
          <w:marRight w:val="0"/>
          <w:marTop w:val="0"/>
          <w:marBottom w:val="0"/>
          <w:divBdr>
            <w:top w:val="none" w:sz="0" w:space="0" w:color="auto"/>
            <w:left w:val="none" w:sz="0" w:space="0" w:color="auto"/>
            <w:bottom w:val="none" w:sz="0" w:space="0" w:color="auto"/>
            <w:right w:val="none" w:sz="0" w:space="0" w:color="auto"/>
          </w:divBdr>
          <w:divsChild>
            <w:div w:id="858473328">
              <w:marLeft w:val="0"/>
              <w:marRight w:val="0"/>
              <w:marTop w:val="0"/>
              <w:marBottom w:val="0"/>
              <w:divBdr>
                <w:top w:val="none" w:sz="0" w:space="0" w:color="auto"/>
                <w:left w:val="none" w:sz="0" w:space="0" w:color="auto"/>
                <w:bottom w:val="none" w:sz="0" w:space="0" w:color="auto"/>
                <w:right w:val="none" w:sz="0" w:space="0" w:color="auto"/>
              </w:divBdr>
            </w:div>
          </w:divsChild>
        </w:div>
        <w:div w:id="663969836">
          <w:marLeft w:val="0"/>
          <w:marRight w:val="0"/>
          <w:marTop w:val="0"/>
          <w:marBottom w:val="0"/>
          <w:divBdr>
            <w:top w:val="none" w:sz="0" w:space="0" w:color="auto"/>
            <w:left w:val="none" w:sz="0" w:space="0" w:color="auto"/>
            <w:bottom w:val="none" w:sz="0" w:space="0" w:color="auto"/>
            <w:right w:val="none" w:sz="0" w:space="0" w:color="auto"/>
          </w:divBdr>
          <w:divsChild>
            <w:div w:id="488441553">
              <w:marLeft w:val="0"/>
              <w:marRight w:val="0"/>
              <w:marTop w:val="0"/>
              <w:marBottom w:val="0"/>
              <w:divBdr>
                <w:top w:val="none" w:sz="0" w:space="0" w:color="auto"/>
                <w:left w:val="none" w:sz="0" w:space="0" w:color="auto"/>
                <w:bottom w:val="none" w:sz="0" w:space="0" w:color="auto"/>
                <w:right w:val="none" w:sz="0" w:space="0" w:color="auto"/>
              </w:divBdr>
            </w:div>
            <w:div w:id="604465340">
              <w:marLeft w:val="0"/>
              <w:marRight w:val="0"/>
              <w:marTop w:val="0"/>
              <w:marBottom w:val="0"/>
              <w:divBdr>
                <w:top w:val="none" w:sz="0" w:space="0" w:color="auto"/>
                <w:left w:val="none" w:sz="0" w:space="0" w:color="auto"/>
                <w:bottom w:val="none" w:sz="0" w:space="0" w:color="auto"/>
                <w:right w:val="none" w:sz="0" w:space="0" w:color="auto"/>
              </w:divBdr>
            </w:div>
          </w:divsChild>
        </w:div>
        <w:div w:id="774901958">
          <w:marLeft w:val="0"/>
          <w:marRight w:val="0"/>
          <w:marTop w:val="0"/>
          <w:marBottom w:val="0"/>
          <w:divBdr>
            <w:top w:val="none" w:sz="0" w:space="0" w:color="auto"/>
            <w:left w:val="none" w:sz="0" w:space="0" w:color="auto"/>
            <w:bottom w:val="none" w:sz="0" w:space="0" w:color="auto"/>
            <w:right w:val="none" w:sz="0" w:space="0" w:color="auto"/>
          </w:divBdr>
          <w:divsChild>
            <w:div w:id="523834051">
              <w:marLeft w:val="0"/>
              <w:marRight w:val="0"/>
              <w:marTop w:val="0"/>
              <w:marBottom w:val="0"/>
              <w:divBdr>
                <w:top w:val="none" w:sz="0" w:space="0" w:color="auto"/>
                <w:left w:val="none" w:sz="0" w:space="0" w:color="auto"/>
                <w:bottom w:val="none" w:sz="0" w:space="0" w:color="auto"/>
                <w:right w:val="none" w:sz="0" w:space="0" w:color="auto"/>
              </w:divBdr>
            </w:div>
            <w:div w:id="1087847202">
              <w:marLeft w:val="0"/>
              <w:marRight w:val="0"/>
              <w:marTop w:val="0"/>
              <w:marBottom w:val="0"/>
              <w:divBdr>
                <w:top w:val="none" w:sz="0" w:space="0" w:color="auto"/>
                <w:left w:val="none" w:sz="0" w:space="0" w:color="auto"/>
                <w:bottom w:val="none" w:sz="0" w:space="0" w:color="auto"/>
                <w:right w:val="none" w:sz="0" w:space="0" w:color="auto"/>
              </w:divBdr>
            </w:div>
          </w:divsChild>
        </w:div>
        <w:div w:id="1373458096">
          <w:marLeft w:val="0"/>
          <w:marRight w:val="0"/>
          <w:marTop w:val="0"/>
          <w:marBottom w:val="0"/>
          <w:divBdr>
            <w:top w:val="none" w:sz="0" w:space="0" w:color="auto"/>
            <w:left w:val="none" w:sz="0" w:space="0" w:color="auto"/>
            <w:bottom w:val="none" w:sz="0" w:space="0" w:color="auto"/>
            <w:right w:val="none" w:sz="0" w:space="0" w:color="auto"/>
          </w:divBdr>
          <w:divsChild>
            <w:div w:id="869881072">
              <w:marLeft w:val="0"/>
              <w:marRight w:val="0"/>
              <w:marTop w:val="0"/>
              <w:marBottom w:val="0"/>
              <w:divBdr>
                <w:top w:val="none" w:sz="0" w:space="0" w:color="auto"/>
                <w:left w:val="none" w:sz="0" w:space="0" w:color="auto"/>
                <w:bottom w:val="none" w:sz="0" w:space="0" w:color="auto"/>
                <w:right w:val="none" w:sz="0" w:space="0" w:color="auto"/>
              </w:divBdr>
            </w:div>
            <w:div w:id="2088532625">
              <w:marLeft w:val="0"/>
              <w:marRight w:val="0"/>
              <w:marTop w:val="0"/>
              <w:marBottom w:val="0"/>
              <w:divBdr>
                <w:top w:val="none" w:sz="0" w:space="0" w:color="auto"/>
                <w:left w:val="none" w:sz="0" w:space="0" w:color="auto"/>
                <w:bottom w:val="none" w:sz="0" w:space="0" w:color="auto"/>
                <w:right w:val="none" w:sz="0" w:space="0" w:color="auto"/>
              </w:divBdr>
            </w:div>
          </w:divsChild>
        </w:div>
        <w:div w:id="1377047056">
          <w:marLeft w:val="0"/>
          <w:marRight w:val="0"/>
          <w:marTop w:val="0"/>
          <w:marBottom w:val="0"/>
          <w:divBdr>
            <w:top w:val="none" w:sz="0" w:space="0" w:color="auto"/>
            <w:left w:val="none" w:sz="0" w:space="0" w:color="auto"/>
            <w:bottom w:val="none" w:sz="0" w:space="0" w:color="auto"/>
            <w:right w:val="none" w:sz="0" w:space="0" w:color="auto"/>
          </w:divBdr>
          <w:divsChild>
            <w:div w:id="196427657">
              <w:marLeft w:val="0"/>
              <w:marRight w:val="0"/>
              <w:marTop w:val="0"/>
              <w:marBottom w:val="0"/>
              <w:divBdr>
                <w:top w:val="none" w:sz="0" w:space="0" w:color="auto"/>
                <w:left w:val="none" w:sz="0" w:space="0" w:color="auto"/>
                <w:bottom w:val="none" w:sz="0" w:space="0" w:color="auto"/>
                <w:right w:val="none" w:sz="0" w:space="0" w:color="auto"/>
              </w:divBdr>
            </w:div>
            <w:div w:id="533688191">
              <w:marLeft w:val="0"/>
              <w:marRight w:val="0"/>
              <w:marTop w:val="0"/>
              <w:marBottom w:val="0"/>
              <w:divBdr>
                <w:top w:val="none" w:sz="0" w:space="0" w:color="auto"/>
                <w:left w:val="none" w:sz="0" w:space="0" w:color="auto"/>
                <w:bottom w:val="none" w:sz="0" w:space="0" w:color="auto"/>
                <w:right w:val="none" w:sz="0" w:space="0" w:color="auto"/>
              </w:divBdr>
            </w:div>
          </w:divsChild>
        </w:div>
        <w:div w:id="1664814961">
          <w:marLeft w:val="0"/>
          <w:marRight w:val="0"/>
          <w:marTop w:val="0"/>
          <w:marBottom w:val="0"/>
          <w:divBdr>
            <w:top w:val="none" w:sz="0" w:space="0" w:color="auto"/>
            <w:left w:val="none" w:sz="0" w:space="0" w:color="auto"/>
            <w:bottom w:val="none" w:sz="0" w:space="0" w:color="auto"/>
            <w:right w:val="none" w:sz="0" w:space="0" w:color="auto"/>
          </w:divBdr>
          <w:divsChild>
            <w:div w:id="1948924324">
              <w:marLeft w:val="0"/>
              <w:marRight w:val="0"/>
              <w:marTop w:val="0"/>
              <w:marBottom w:val="0"/>
              <w:divBdr>
                <w:top w:val="none" w:sz="0" w:space="0" w:color="auto"/>
                <w:left w:val="none" w:sz="0" w:space="0" w:color="auto"/>
                <w:bottom w:val="none" w:sz="0" w:space="0" w:color="auto"/>
                <w:right w:val="none" w:sz="0" w:space="0" w:color="auto"/>
              </w:divBdr>
            </w:div>
          </w:divsChild>
        </w:div>
        <w:div w:id="1692681487">
          <w:marLeft w:val="0"/>
          <w:marRight w:val="0"/>
          <w:marTop w:val="0"/>
          <w:marBottom w:val="0"/>
          <w:divBdr>
            <w:top w:val="none" w:sz="0" w:space="0" w:color="auto"/>
            <w:left w:val="none" w:sz="0" w:space="0" w:color="auto"/>
            <w:bottom w:val="none" w:sz="0" w:space="0" w:color="auto"/>
            <w:right w:val="none" w:sz="0" w:space="0" w:color="auto"/>
          </w:divBdr>
          <w:divsChild>
            <w:div w:id="1372265576">
              <w:marLeft w:val="0"/>
              <w:marRight w:val="0"/>
              <w:marTop w:val="0"/>
              <w:marBottom w:val="0"/>
              <w:divBdr>
                <w:top w:val="none" w:sz="0" w:space="0" w:color="auto"/>
                <w:left w:val="none" w:sz="0" w:space="0" w:color="auto"/>
                <w:bottom w:val="none" w:sz="0" w:space="0" w:color="auto"/>
                <w:right w:val="none" w:sz="0" w:space="0" w:color="auto"/>
              </w:divBdr>
            </w:div>
          </w:divsChild>
        </w:div>
        <w:div w:id="1765343858">
          <w:marLeft w:val="0"/>
          <w:marRight w:val="0"/>
          <w:marTop w:val="0"/>
          <w:marBottom w:val="0"/>
          <w:divBdr>
            <w:top w:val="none" w:sz="0" w:space="0" w:color="auto"/>
            <w:left w:val="none" w:sz="0" w:space="0" w:color="auto"/>
            <w:bottom w:val="none" w:sz="0" w:space="0" w:color="auto"/>
            <w:right w:val="none" w:sz="0" w:space="0" w:color="auto"/>
          </w:divBdr>
          <w:divsChild>
            <w:div w:id="1634678943">
              <w:marLeft w:val="0"/>
              <w:marRight w:val="0"/>
              <w:marTop w:val="0"/>
              <w:marBottom w:val="0"/>
              <w:divBdr>
                <w:top w:val="none" w:sz="0" w:space="0" w:color="auto"/>
                <w:left w:val="none" w:sz="0" w:space="0" w:color="auto"/>
                <w:bottom w:val="none" w:sz="0" w:space="0" w:color="auto"/>
                <w:right w:val="none" w:sz="0" w:space="0" w:color="auto"/>
              </w:divBdr>
            </w:div>
            <w:div w:id="2084912185">
              <w:marLeft w:val="0"/>
              <w:marRight w:val="0"/>
              <w:marTop w:val="0"/>
              <w:marBottom w:val="0"/>
              <w:divBdr>
                <w:top w:val="none" w:sz="0" w:space="0" w:color="auto"/>
                <w:left w:val="none" w:sz="0" w:space="0" w:color="auto"/>
                <w:bottom w:val="none" w:sz="0" w:space="0" w:color="auto"/>
                <w:right w:val="none" w:sz="0" w:space="0" w:color="auto"/>
              </w:divBdr>
            </w:div>
          </w:divsChild>
        </w:div>
        <w:div w:id="1806048021">
          <w:marLeft w:val="0"/>
          <w:marRight w:val="0"/>
          <w:marTop w:val="0"/>
          <w:marBottom w:val="0"/>
          <w:divBdr>
            <w:top w:val="none" w:sz="0" w:space="0" w:color="auto"/>
            <w:left w:val="none" w:sz="0" w:space="0" w:color="auto"/>
            <w:bottom w:val="none" w:sz="0" w:space="0" w:color="auto"/>
            <w:right w:val="none" w:sz="0" w:space="0" w:color="auto"/>
          </w:divBdr>
          <w:divsChild>
            <w:div w:id="1617060527">
              <w:marLeft w:val="0"/>
              <w:marRight w:val="0"/>
              <w:marTop w:val="0"/>
              <w:marBottom w:val="0"/>
              <w:divBdr>
                <w:top w:val="none" w:sz="0" w:space="0" w:color="auto"/>
                <w:left w:val="none" w:sz="0" w:space="0" w:color="auto"/>
                <w:bottom w:val="none" w:sz="0" w:space="0" w:color="auto"/>
                <w:right w:val="none" w:sz="0" w:space="0" w:color="auto"/>
              </w:divBdr>
            </w:div>
          </w:divsChild>
        </w:div>
        <w:div w:id="1845171963">
          <w:marLeft w:val="0"/>
          <w:marRight w:val="0"/>
          <w:marTop w:val="0"/>
          <w:marBottom w:val="0"/>
          <w:divBdr>
            <w:top w:val="none" w:sz="0" w:space="0" w:color="auto"/>
            <w:left w:val="none" w:sz="0" w:space="0" w:color="auto"/>
            <w:bottom w:val="none" w:sz="0" w:space="0" w:color="auto"/>
            <w:right w:val="none" w:sz="0" w:space="0" w:color="auto"/>
          </w:divBdr>
          <w:divsChild>
            <w:div w:id="1682119255">
              <w:marLeft w:val="0"/>
              <w:marRight w:val="0"/>
              <w:marTop w:val="0"/>
              <w:marBottom w:val="0"/>
              <w:divBdr>
                <w:top w:val="none" w:sz="0" w:space="0" w:color="auto"/>
                <w:left w:val="none" w:sz="0" w:space="0" w:color="auto"/>
                <w:bottom w:val="none" w:sz="0" w:space="0" w:color="auto"/>
                <w:right w:val="none" w:sz="0" w:space="0" w:color="auto"/>
              </w:divBdr>
            </w:div>
          </w:divsChild>
        </w:div>
        <w:div w:id="2146728623">
          <w:marLeft w:val="0"/>
          <w:marRight w:val="0"/>
          <w:marTop w:val="0"/>
          <w:marBottom w:val="0"/>
          <w:divBdr>
            <w:top w:val="none" w:sz="0" w:space="0" w:color="auto"/>
            <w:left w:val="none" w:sz="0" w:space="0" w:color="auto"/>
            <w:bottom w:val="none" w:sz="0" w:space="0" w:color="auto"/>
            <w:right w:val="none" w:sz="0" w:space="0" w:color="auto"/>
          </w:divBdr>
          <w:divsChild>
            <w:div w:id="1240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wa.gov/forms/?fa=forms.static&amp;amp;amp;staticID=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ingcounty.gov/en/dept/dja/courts-jails-legal-system/court-forms-document-filing/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JATranslations@kingcount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forms/?fa=forms.contribute&amp;amp%3BformID=87" TargetMode="External"/><Relationship Id="rId5" Type="http://schemas.openxmlformats.org/officeDocument/2006/relationships/numbering" Target="numbering.xml"/><Relationship Id="rId15" Type="http://schemas.openxmlformats.org/officeDocument/2006/relationships/hyperlink" Target="https://kingcounty.gov/en/dept/dja/courts-jails-legal-system/courts-financial/fees-payments/fee-waiv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ngcounty.gov/-/media/king-county/depts/dja/forms/waiver-ff-in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Uploaded PDF</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Spanish</Language>
    <Notes0 xmlns="2d96fc6b-5c1f-4d80-bde9-97075dee824a" xsi:nil="true"/>
    <_dlc_DocId xmlns="b4a09685-4681-44c1-9d1a-8300b9172baa">4KWM3C6QXE6Z-1703436843-202</_dlc_DocId>
    <_dlc_DocIdUrl xmlns="b4a09685-4681-44c1-9d1a-8300b9172baa">
      <Url>http://jake/admin/LanguageAccess/_layouts/15/DocIdRedir.aspx?ID=4KWM3C6QXE6Z-1703436843-202</Url>
      <Description>4KWM3C6QXE6Z-1703436843-202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F7A01-5F1A-47A0-A500-9B6C34B6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17043-123B-4E2E-A56D-18CC8BB4483B}">
  <ds:schemaRefs>
    <ds:schemaRef ds:uri="http://schemas.microsoft.com/sharepoint/events"/>
  </ds:schemaRefs>
</ds:datastoreItem>
</file>

<file path=customXml/itemProps3.xml><?xml version="1.0" encoding="utf-8"?>
<ds:datastoreItem xmlns:ds="http://schemas.openxmlformats.org/officeDocument/2006/customXml" ds:itemID="{E4B1558F-65F1-4F56-BEAC-6735A3C416D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b4a09685-4681-44c1-9d1a-8300b9172baa"/>
    <ds:schemaRef ds:uri="http://purl.org/dc/elements/1.1/"/>
    <ds:schemaRef ds:uri="http://schemas.openxmlformats.org/package/2006/metadata/core-properties"/>
    <ds:schemaRef ds:uri="2d96fc6b-5c1f-4d80-bde9-97075dee824a"/>
    <ds:schemaRef ds:uri="http://www.w3.org/XML/1998/namespace"/>
    <ds:schemaRef ds:uri="http://purl.org/dc/dcmitype/"/>
  </ds:schemaRefs>
</ds:datastoreItem>
</file>

<file path=customXml/itemProps4.xml><?xml version="1.0" encoding="utf-8"?>
<ds:datastoreItem xmlns:ds="http://schemas.openxmlformats.org/officeDocument/2006/customXml" ds:itemID="{295AA7AA-C16D-4143-B045-C292E52D5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836</Words>
  <Characters>4769</Characters>
  <Application>Microsoft Office Word</Application>
  <DocSecurity>4</DocSecurity>
  <Lines>39</Lines>
  <Paragraphs>11</Paragraphs>
  <ScaleCrop>false</ScaleCrop>
  <Company>Department of Juducial Administration</Company>
  <LinksUpToDate>false</LinksUpToDate>
  <CharactersWithSpaces>5594</CharactersWithSpaces>
  <SharedDoc>false</SharedDoc>
  <HLinks>
    <vt:vector size="36" baseType="variant">
      <vt:variant>
        <vt:i4>5832817</vt:i4>
      </vt:variant>
      <vt:variant>
        <vt:i4>15</vt:i4>
      </vt:variant>
      <vt:variant>
        <vt:i4>0</vt:i4>
      </vt:variant>
      <vt:variant>
        <vt:i4>5</vt:i4>
      </vt:variant>
      <vt:variant>
        <vt:lpwstr>mailto:DJATranslations@kingcounty.gov</vt:lpwstr>
      </vt:variant>
      <vt:variant>
        <vt:lpwstr/>
      </vt:variant>
      <vt:variant>
        <vt:i4>6815776</vt:i4>
      </vt:variant>
      <vt:variant>
        <vt:i4>12</vt:i4>
      </vt:variant>
      <vt:variant>
        <vt:i4>0</vt:i4>
      </vt:variant>
      <vt:variant>
        <vt:i4>5</vt:i4>
      </vt:variant>
      <vt:variant>
        <vt:lpwstr>https://kingcounty.gov/en/dept/dja/courts-jails-legal-system/courts-financial/fees-payments/fee-waiver</vt:lpwstr>
      </vt:variant>
      <vt:variant>
        <vt:lpwstr/>
      </vt:variant>
      <vt:variant>
        <vt:i4>393236</vt:i4>
      </vt:variant>
      <vt:variant>
        <vt:i4>9</vt:i4>
      </vt:variant>
      <vt:variant>
        <vt:i4>0</vt:i4>
      </vt:variant>
      <vt:variant>
        <vt:i4>5</vt:i4>
      </vt:variant>
      <vt:variant>
        <vt:lpwstr>https://kingcounty.gov/-/media/king-county/depts/dja/forms/waiver-ff-inst.pdf</vt:lpwstr>
      </vt:variant>
      <vt:variant>
        <vt:lpwstr/>
      </vt:variant>
      <vt:variant>
        <vt:i4>2228273</vt:i4>
      </vt:variant>
      <vt:variant>
        <vt:i4>6</vt:i4>
      </vt:variant>
      <vt:variant>
        <vt:i4>0</vt:i4>
      </vt:variant>
      <vt:variant>
        <vt:i4>5</vt:i4>
      </vt:variant>
      <vt:variant>
        <vt:lpwstr>http://www.courts.wa.gov/forms/?fa=forms.static&amp;amp;amp;staticID=14</vt:lpwstr>
      </vt:variant>
      <vt:variant>
        <vt:lpwstr/>
      </vt:variant>
      <vt:variant>
        <vt:i4>2228279</vt:i4>
      </vt:variant>
      <vt:variant>
        <vt:i4>3</vt:i4>
      </vt:variant>
      <vt:variant>
        <vt:i4>0</vt:i4>
      </vt:variant>
      <vt:variant>
        <vt:i4>5</vt:i4>
      </vt:variant>
      <vt:variant>
        <vt:lpwstr>https://kingcounty.gov/en/dept/dja/courts-jails-legal-system/court-forms-document-filing/forms</vt:lpwstr>
      </vt:variant>
      <vt:variant>
        <vt:lpwstr/>
      </vt:variant>
      <vt:variant>
        <vt:i4>7471229</vt:i4>
      </vt:variant>
      <vt:variant>
        <vt:i4>0</vt:i4>
      </vt:variant>
      <vt:variant>
        <vt:i4>0</vt:i4>
      </vt:variant>
      <vt:variant>
        <vt:i4>5</vt:i4>
      </vt:variant>
      <vt:variant>
        <vt:lpwstr>http://www.courts.wa.gov/forms/?fa=forms.contribute&amp;amp%3BformID=87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Fee Waiver Instructions - Filing fees</dc:title>
  <dc:subject/>
  <dc:creator>King County</dc:creator>
  <cp:keywords/>
  <cp:lastModifiedBy>Smith, David</cp:lastModifiedBy>
  <cp:revision>22</cp:revision>
  <dcterms:created xsi:type="dcterms:W3CDTF">2022-07-14T18:43:00Z</dcterms:created>
  <dcterms:modified xsi:type="dcterms:W3CDTF">2025-01-16T00:18:00Z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Created">
    <vt:filetime>2022-02-16T00:00:00Z</vt:filetime>
  </property>
  <property fmtid="{D5CDD505-2E9C-101B-9397-08002B2CF9AE}" pid="4" name="Creator">
    <vt:lpwstr>Acrobat PDFMaker 17 for Word</vt:lpwstr>
  </property>
  <property fmtid="{D5CDD505-2E9C-101B-9397-08002B2CF9AE}" pid="5" name="LastSaved">
    <vt:filetime>2022-07-14T00:00:00Z</vt:filetime>
  </property>
  <property fmtid="{D5CDD505-2E9C-101B-9397-08002B2CF9AE}" pid="6" name="Producer">
    <vt:lpwstr>Adobe PDF Library 17.11.238</vt:lpwstr>
  </property>
  <property fmtid="{D5CDD505-2E9C-101B-9397-08002B2CF9AE}" pid="7" name="SourceModified">
    <vt:lpwstr>D:20220209212400</vt:lpwstr>
  </property>
  <property fmtid="{D5CDD505-2E9C-101B-9397-08002B2CF9AE}" pid="8" name="_dlc_DocIdItemGuid">
    <vt:lpwstr>8307a359-a436-4870-8cbf-c79a63b86f71</vt:lpwstr>
  </property>
  <property fmtid="{D5CDD505-2E9C-101B-9397-08002B2CF9AE}" pid="9" name="Document ID Value">
    <vt:lpwstr>4KWM3C6QXE6Z-1703436843-202</vt:lpwstr>
  </property>
  <property fmtid="{D5CDD505-2E9C-101B-9397-08002B2CF9AE}" pid="10" name="Owner">
    <vt:lpwstr>Financial Services</vt:lpwstr>
  </property>
</Properties>
</file>