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BF88" w14:textId="77777777" w:rsidR="006A603C" w:rsidRDefault="00FF5FFA">
      <w:pPr>
        <w:spacing w:after="348" w:line="259" w:lineRule="auto"/>
        <w:ind w:left="0" w:right="-2" w:firstLine="0"/>
        <w:jc w:val="left"/>
      </w:pPr>
      <w:r>
        <w:rPr>
          <w:noProof/>
        </w:rPr>
        <w:drawing>
          <wp:inline distT="0" distB="0" distL="0" distR="0" wp14:anchorId="7095FC7C" wp14:editId="45041603">
            <wp:extent cx="6860831" cy="10287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6860831" cy="1028700"/>
                    </a:xfrm>
                    <a:prstGeom prst="rect">
                      <a:avLst/>
                    </a:prstGeom>
                  </pic:spPr>
                </pic:pic>
              </a:graphicData>
            </a:graphic>
          </wp:inline>
        </w:drawing>
      </w:r>
    </w:p>
    <w:p w14:paraId="3DF3B5EC" w14:textId="267572B4" w:rsidR="006A603C" w:rsidRDefault="000774B9" w:rsidP="000774B9">
      <w:pPr>
        <w:pStyle w:val="Heading1"/>
        <w:numPr>
          <w:ilvl w:val="0"/>
          <w:numId w:val="0"/>
        </w:numPr>
        <w:spacing w:after="160"/>
        <w:ind w:left="10"/>
      </w:pPr>
      <w:r>
        <w:t>2026</w:t>
      </w:r>
      <w:r>
        <w:tab/>
      </w:r>
      <w:r w:rsidR="00FF5FFA">
        <w:t>Fee Guide 03, School Impact Mitigation Measures</w:t>
      </w:r>
    </w:p>
    <w:p w14:paraId="4996FFC4" w14:textId="77777777" w:rsidR="006A603C" w:rsidRDefault="00FF5FFA">
      <w:pPr>
        <w:spacing w:after="266"/>
      </w:pPr>
      <w:r>
        <w:t xml:space="preserve">Chapter 21A.43 of the King County Code provides a framework for school districts to require that King County assess impact fees on new residential development in unincorporated King County.  School districts affected by growth may request that impact fees be imposed on each new residential dwelling unit in the unincorporated portion of its district for which an impact fee has been established.  One-half of the impact fee is paid at final plat approval and the other half when building permits are issued.  </w:t>
      </w:r>
    </w:p>
    <w:p w14:paraId="40DEE4A9" w14:textId="65D87D2C" w:rsidR="006A603C" w:rsidRDefault="00FF5FFA">
      <w:r>
        <w:t>Residential lots that did not pay an impact fee during platting, multi-family building permits, mobile home permits, and site plan approvals for mobile home parks must pay the total fee when the permits are issued.  The applicant may defer payment of impact fees until final inspection of the building permit in accordance with Chapter 21A.43. The amount of the fee is based on the fee schedule that is in effect at the time of permit application or final plat approval. (KCC 21A.43.050) The following fees have been adopted by ordinance</w:t>
      </w:r>
      <w:r w:rsidR="00B6256D">
        <w:t xml:space="preserve"> </w:t>
      </w:r>
      <w:r w:rsidR="00271784">
        <w:t>20016</w:t>
      </w:r>
      <w:r>
        <w:t>, effective January 1, 202</w:t>
      </w:r>
      <w:r w:rsidR="000774B9">
        <w:t>6</w:t>
      </w:r>
      <w:r>
        <w:t>:</w:t>
      </w:r>
    </w:p>
    <w:p w14:paraId="774218D0" w14:textId="77777777" w:rsidR="00304EAD" w:rsidRDefault="00304EAD"/>
    <w:tbl>
      <w:tblPr>
        <w:tblStyle w:val="TableGrid"/>
        <w:tblW w:w="7666" w:type="dxa"/>
        <w:tblInd w:w="1567" w:type="dxa"/>
        <w:tblCellMar>
          <w:top w:w="25" w:type="dxa"/>
          <w:right w:w="115" w:type="dxa"/>
        </w:tblCellMar>
        <w:tblLook w:val="04A0" w:firstRow="1" w:lastRow="0" w:firstColumn="1" w:lastColumn="0" w:noHBand="0" w:noVBand="1"/>
      </w:tblPr>
      <w:tblGrid>
        <w:gridCol w:w="3638"/>
        <w:gridCol w:w="2014"/>
        <w:gridCol w:w="2014"/>
      </w:tblGrid>
      <w:tr w:rsidR="006A603C" w14:paraId="12C92723" w14:textId="77777777" w:rsidTr="00871D49">
        <w:trPr>
          <w:trHeight w:val="332"/>
        </w:trPr>
        <w:tc>
          <w:tcPr>
            <w:tcW w:w="3638" w:type="dxa"/>
            <w:tcBorders>
              <w:top w:val="double" w:sz="4" w:space="0" w:color="000000"/>
              <w:left w:val="double" w:sz="4" w:space="0" w:color="000000"/>
              <w:bottom w:val="nil"/>
              <w:right w:val="nil"/>
            </w:tcBorders>
            <w:shd w:val="clear" w:color="auto" w:fill="D9D9D9"/>
          </w:tcPr>
          <w:p w14:paraId="41F6F4CC" w14:textId="77777777" w:rsidR="006A603C" w:rsidRDefault="006A603C">
            <w:pPr>
              <w:spacing w:after="160" w:line="259" w:lineRule="auto"/>
              <w:ind w:left="0" w:firstLine="0"/>
              <w:jc w:val="left"/>
            </w:pPr>
          </w:p>
        </w:tc>
        <w:tc>
          <w:tcPr>
            <w:tcW w:w="4028" w:type="dxa"/>
            <w:gridSpan w:val="2"/>
            <w:tcBorders>
              <w:top w:val="double" w:sz="4" w:space="0" w:color="000000"/>
              <w:left w:val="nil"/>
              <w:bottom w:val="nil"/>
              <w:right w:val="double" w:sz="4" w:space="0" w:color="000000"/>
            </w:tcBorders>
            <w:shd w:val="clear" w:color="auto" w:fill="D9D9D9"/>
          </w:tcPr>
          <w:p w14:paraId="3A1A01F0" w14:textId="77777777" w:rsidR="006A603C" w:rsidRDefault="00FF5FFA">
            <w:pPr>
              <w:spacing w:after="0" w:line="259" w:lineRule="auto"/>
              <w:ind w:left="476" w:firstLine="0"/>
              <w:jc w:val="left"/>
            </w:pPr>
            <w:r>
              <w:rPr>
                <w:b/>
              </w:rPr>
              <w:t>Fee per Dwelling Unit</w:t>
            </w:r>
          </w:p>
        </w:tc>
      </w:tr>
      <w:tr w:rsidR="006A603C" w14:paraId="72AA4D76" w14:textId="77777777" w:rsidTr="00871D49">
        <w:trPr>
          <w:trHeight w:val="308"/>
        </w:trPr>
        <w:tc>
          <w:tcPr>
            <w:tcW w:w="3638" w:type="dxa"/>
            <w:tcBorders>
              <w:top w:val="nil"/>
              <w:left w:val="double" w:sz="4" w:space="0" w:color="000000"/>
              <w:bottom w:val="dashed" w:sz="4" w:space="0" w:color="000000"/>
              <w:right w:val="nil"/>
            </w:tcBorders>
            <w:shd w:val="clear" w:color="auto" w:fill="D9D9D9"/>
          </w:tcPr>
          <w:p w14:paraId="49EF201D" w14:textId="77777777" w:rsidR="006A603C" w:rsidRDefault="00FF5FFA">
            <w:pPr>
              <w:spacing w:after="0" w:line="259" w:lineRule="auto"/>
              <w:ind w:left="107" w:firstLine="0"/>
              <w:jc w:val="left"/>
            </w:pPr>
            <w:r>
              <w:rPr>
                <w:b/>
              </w:rPr>
              <w:t>School District</w:t>
            </w:r>
          </w:p>
        </w:tc>
        <w:tc>
          <w:tcPr>
            <w:tcW w:w="2014" w:type="dxa"/>
            <w:tcBorders>
              <w:top w:val="nil"/>
              <w:left w:val="nil"/>
              <w:bottom w:val="dashed" w:sz="4" w:space="0" w:color="000000"/>
              <w:right w:val="nil"/>
            </w:tcBorders>
            <w:shd w:val="clear" w:color="auto" w:fill="D9D9D9"/>
            <w:vAlign w:val="center"/>
          </w:tcPr>
          <w:p w14:paraId="75AFCD6D" w14:textId="6819258B" w:rsidR="006A603C" w:rsidRDefault="00FF5FFA" w:rsidP="00871D49">
            <w:pPr>
              <w:spacing w:after="0" w:line="259" w:lineRule="auto"/>
              <w:ind w:left="0" w:firstLine="0"/>
              <w:jc w:val="center"/>
            </w:pPr>
            <w:r>
              <w:rPr>
                <w:b/>
              </w:rPr>
              <w:t xml:space="preserve">Single </w:t>
            </w:r>
            <w:r w:rsidR="00F21B04">
              <w:rPr>
                <w:b/>
              </w:rPr>
              <w:t>Detached</w:t>
            </w:r>
          </w:p>
        </w:tc>
        <w:tc>
          <w:tcPr>
            <w:tcW w:w="2014" w:type="dxa"/>
            <w:tcBorders>
              <w:top w:val="nil"/>
              <w:left w:val="nil"/>
              <w:bottom w:val="dashed" w:sz="4" w:space="0" w:color="000000"/>
              <w:right w:val="double" w:sz="4" w:space="0" w:color="000000"/>
            </w:tcBorders>
            <w:shd w:val="clear" w:color="auto" w:fill="D9D9D9"/>
            <w:vAlign w:val="center"/>
          </w:tcPr>
          <w:p w14:paraId="7468C714" w14:textId="65BAB49D" w:rsidR="006A603C" w:rsidRDefault="00FF5FFA" w:rsidP="00871D49">
            <w:pPr>
              <w:spacing w:after="0" w:line="259" w:lineRule="auto"/>
              <w:ind w:left="73" w:hanging="73"/>
              <w:jc w:val="center"/>
            </w:pPr>
            <w:r>
              <w:rPr>
                <w:b/>
              </w:rPr>
              <w:t>Multi</w:t>
            </w:r>
            <w:r w:rsidR="00F21B04">
              <w:rPr>
                <w:b/>
              </w:rPr>
              <w:t>unit</w:t>
            </w:r>
          </w:p>
        </w:tc>
      </w:tr>
      <w:tr w:rsidR="006A603C" w14:paraId="0705C386" w14:textId="77777777" w:rsidTr="00871D49">
        <w:trPr>
          <w:trHeight w:val="287"/>
        </w:trPr>
        <w:tc>
          <w:tcPr>
            <w:tcW w:w="3638" w:type="dxa"/>
            <w:tcBorders>
              <w:top w:val="dashed" w:sz="4" w:space="0" w:color="000000"/>
              <w:left w:val="double" w:sz="4" w:space="0" w:color="000000"/>
              <w:bottom w:val="dashed" w:sz="4" w:space="0" w:color="000000"/>
              <w:right w:val="nil"/>
            </w:tcBorders>
          </w:tcPr>
          <w:p w14:paraId="0A6AAA2C" w14:textId="77777777" w:rsidR="006A603C" w:rsidRDefault="00FF5FFA">
            <w:pPr>
              <w:spacing w:after="0" w:line="259" w:lineRule="auto"/>
              <w:ind w:left="107" w:firstLine="0"/>
              <w:jc w:val="left"/>
            </w:pPr>
            <w:r>
              <w:t>Auburn, No. 17408</w:t>
            </w:r>
          </w:p>
        </w:tc>
        <w:tc>
          <w:tcPr>
            <w:tcW w:w="2014" w:type="dxa"/>
            <w:tcBorders>
              <w:top w:val="dashed" w:sz="4" w:space="0" w:color="000000"/>
              <w:left w:val="nil"/>
              <w:bottom w:val="dashed" w:sz="4" w:space="0" w:color="000000"/>
              <w:right w:val="nil"/>
            </w:tcBorders>
            <w:vAlign w:val="center"/>
          </w:tcPr>
          <w:p w14:paraId="390F08AA" w14:textId="74542825" w:rsidR="006A603C" w:rsidRDefault="00304EAD" w:rsidP="00871D49">
            <w:pPr>
              <w:spacing w:after="0" w:line="259" w:lineRule="auto"/>
              <w:ind w:left="495" w:firstLine="0"/>
              <w:jc w:val="center"/>
            </w:pPr>
            <w:r w:rsidRPr="00304EAD">
              <w:t>$</w:t>
            </w:r>
            <w:r w:rsidR="00FB3CDF">
              <w:t>8</w:t>
            </w:r>
            <w:r w:rsidR="000D31E4" w:rsidRPr="000D31E4">
              <w:t>,</w:t>
            </w:r>
            <w:r w:rsidR="002A48F2">
              <w:t>00</w:t>
            </w:r>
            <w:r w:rsidR="00FB3CDF">
              <w:t>3</w:t>
            </w:r>
          </w:p>
        </w:tc>
        <w:tc>
          <w:tcPr>
            <w:tcW w:w="2014" w:type="dxa"/>
            <w:tcBorders>
              <w:top w:val="dashed" w:sz="4" w:space="0" w:color="000000"/>
              <w:left w:val="nil"/>
              <w:bottom w:val="dashed" w:sz="4" w:space="0" w:color="000000"/>
              <w:right w:val="double" w:sz="4" w:space="0" w:color="000000"/>
            </w:tcBorders>
            <w:vAlign w:val="center"/>
          </w:tcPr>
          <w:p w14:paraId="10CC41D2" w14:textId="3824BC2F" w:rsidR="006A603C" w:rsidRDefault="00FF5FFA" w:rsidP="00871D49">
            <w:pPr>
              <w:spacing w:after="0" w:line="259" w:lineRule="auto"/>
              <w:ind w:left="135" w:firstLine="0"/>
              <w:jc w:val="center"/>
            </w:pPr>
            <w:r>
              <w:t>$</w:t>
            </w:r>
            <w:r w:rsidR="00FB3CDF">
              <w:t>5,000</w:t>
            </w:r>
          </w:p>
        </w:tc>
      </w:tr>
      <w:tr w:rsidR="006A603C" w14:paraId="3A5945E3" w14:textId="77777777" w:rsidTr="00871D49">
        <w:trPr>
          <w:trHeight w:val="286"/>
        </w:trPr>
        <w:tc>
          <w:tcPr>
            <w:tcW w:w="3638" w:type="dxa"/>
            <w:tcBorders>
              <w:top w:val="dashed" w:sz="4" w:space="0" w:color="000000"/>
              <w:left w:val="double" w:sz="4" w:space="0" w:color="000000"/>
              <w:bottom w:val="dashed" w:sz="4" w:space="0" w:color="000000"/>
              <w:right w:val="nil"/>
            </w:tcBorders>
          </w:tcPr>
          <w:p w14:paraId="032AA1EF" w14:textId="77777777" w:rsidR="006A603C" w:rsidRDefault="00FF5FFA">
            <w:pPr>
              <w:spacing w:after="0" w:line="259" w:lineRule="auto"/>
              <w:ind w:left="107" w:firstLine="0"/>
              <w:jc w:val="left"/>
            </w:pPr>
            <w:r>
              <w:t>Enumclaw, No. 17216</w:t>
            </w:r>
          </w:p>
        </w:tc>
        <w:tc>
          <w:tcPr>
            <w:tcW w:w="2014" w:type="dxa"/>
            <w:tcBorders>
              <w:top w:val="dashed" w:sz="4" w:space="0" w:color="000000"/>
              <w:left w:val="nil"/>
              <w:bottom w:val="dashed" w:sz="4" w:space="0" w:color="000000"/>
              <w:right w:val="nil"/>
            </w:tcBorders>
            <w:vAlign w:val="center"/>
          </w:tcPr>
          <w:p w14:paraId="1592EE6C" w14:textId="5B9501CF" w:rsidR="006A603C" w:rsidRDefault="00FF5FFA" w:rsidP="00871D49">
            <w:pPr>
              <w:spacing w:after="0" w:line="259" w:lineRule="auto"/>
              <w:ind w:left="495" w:firstLine="0"/>
              <w:jc w:val="center"/>
            </w:pPr>
            <w:r>
              <w:t>$</w:t>
            </w:r>
            <w:r w:rsidR="00FB3CDF">
              <w:t>12</w:t>
            </w:r>
            <w:r w:rsidR="000D31E4" w:rsidRPr="000D31E4">
              <w:t>,</w:t>
            </w:r>
            <w:r w:rsidR="00FB3CDF">
              <w:t>619</w:t>
            </w:r>
          </w:p>
        </w:tc>
        <w:tc>
          <w:tcPr>
            <w:tcW w:w="2014" w:type="dxa"/>
            <w:tcBorders>
              <w:top w:val="dashed" w:sz="4" w:space="0" w:color="000000"/>
              <w:left w:val="nil"/>
              <w:bottom w:val="dashed" w:sz="4" w:space="0" w:color="000000"/>
              <w:right w:val="double" w:sz="4" w:space="0" w:color="000000"/>
            </w:tcBorders>
            <w:vAlign w:val="center"/>
          </w:tcPr>
          <w:p w14:paraId="40D1593D" w14:textId="544A0EC0" w:rsidR="006A603C" w:rsidRDefault="00FF5FFA" w:rsidP="00871D49">
            <w:pPr>
              <w:spacing w:after="0" w:line="259" w:lineRule="auto"/>
              <w:ind w:left="135" w:firstLine="0"/>
              <w:jc w:val="center"/>
            </w:pPr>
            <w:r>
              <w:t>$</w:t>
            </w:r>
            <w:r w:rsidR="000D31E4" w:rsidRPr="000D31E4">
              <w:t>5,</w:t>
            </w:r>
            <w:r w:rsidR="00DC097C">
              <w:t>000</w:t>
            </w:r>
          </w:p>
        </w:tc>
      </w:tr>
      <w:tr w:rsidR="006A603C" w14:paraId="0BB2D821" w14:textId="77777777" w:rsidTr="00871D49">
        <w:trPr>
          <w:trHeight w:val="286"/>
        </w:trPr>
        <w:tc>
          <w:tcPr>
            <w:tcW w:w="3638" w:type="dxa"/>
            <w:tcBorders>
              <w:top w:val="dashed" w:sz="4" w:space="0" w:color="000000"/>
              <w:left w:val="double" w:sz="4" w:space="0" w:color="000000"/>
              <w:bottom w:val="dashed" w:sz="4" w:space="0" w:color="000000"/>
              <w:right w:val="nil"/>
            </w:tcBorders>
          </w:tcPr>
          <w:p w14:paraId="0DDAEF4F" w14:textId="77777777" w:rsidR="006A603C" w:rsidRDefault="00FF5FFA">
            <w:pPr>
              <w:spacing w:after="0" w:line="259" w:lineRule="auto"/>
              <w:ind w:left="107" w:firstLine="0"/>
              <w:jc w:val="left"/>
            </w:pPr>
            <w:r>
              <w:t>Federal Way, No. 17210</w:t>
            </w:r>
          </w:p>
        </w:tc>
        <w:tc>
          <w:tcPr>
            <w:tcW w:w="2014" w:type="dxa"/>
            <w:tcBorders>
              <w:top w:val="dashed" w:sz="4" w:space="0" w:color="000000"/>
              <w:left w:val="nil"/>
              <w:bottom w:val="dashed" w:sz="4" w:space="0" w:color="000000"/>
              <w:right w:val="nil"/>
            </w:tcBorders>
            <w:vAlign w:val="center"/>
          </w:tcPr>
          <w:p w14:paraId="231B5503" w14:textId="2AA2F157" w:rsidR="006A603C" w:rsidRDefault="00FF5FFA" w:rsidP="00871D49">
            <w:pPr>
              <w:spacing w:after="0" w:line="259" w:lineRule="auto"/>
              <w:ind w:left="495" w:firstLine="0"/>
              <w:jc w:val="center"/>
            </w:pPr>
            <w:r>
              <w:t>-</w:t>
            </w:r>
            <w:r w:rsidR="00871D49">
              <w:t>-</w:t>
            </w:r>
          </w:p>
        </w:tc>
        <w:tc>
          <w:tcPr>
            <w:tcW w:w="2014" w:type="dxa"/>
            <w:tcBorders>
              <w:top w:val="dashed" w:sz="4" w:space="0" w:color="000000"/>
              <w:left w:val="nil"/>
              <w:bottom w:val="dashed" w:sz="4" w:space="0" w:color="000000"/>
              <w:right w:val="double" w:sz="4" w:space="0" w:color="000000"/>
            </w:tcBorders>
            <w:vAlign w:val="center"/>
          </w:tcPr>
          <w:p w14:paraId="6A99071D" w14:textId="5B4D8DFE" w:rsidR="006A603C" w:rsidRDefault="000D31E4" w:rsidP="00871D49">
            <w:pPr>
              <w:spacing w:after="0" w:line="259" w:lineRule="auto"/>
              <w:ind w:left="135" w:firstLine="0"/>
              <w:jc w:val="center"/>
            </w:pPr>
            <w:r w:rsidRPr="000D31E4">
              <w:t>--</w:t>
            </w:r>
          </w:p>
        </w:tc>
      </w:tr>
      <w:tr w:rsidR="006A603C" w14:paraId="31BEE0E1" w14:textId="77777777" w:rsidTr="00871D49">
        <w:trPr>
          <w:trHeight w:val="286"/>
        </w:trPr>
        <w:tc>
          <w:tcPr>
            <w:tcW w:w="3638" w:type="dxa"/>
            <w:tcBorders>
              <w:top w:val="dashed" w:sz="4" w:space="0" w:color="000000"/>
              <w:left w:val="double" w:sz="4" w:space="0" w:color="000000"/>
              <w:bottom w:val="dashed" w:sz="4" w:space="0" w:color="000000"/>
              <w:right w:val="nil"/>
            </w:tcBorders>
          </w:tcPr>
          <w:p w14:paraId="671A0F60" w14:textId="77777777" w:rsidR="006A603C" w:rsidRDefault="00FF5FFA">
            <w:pPr>
              <w:spacing w:after="0" w:line="259" w:lineRule="auto"/>
              <w:ind w:left="107" w:firstLine="0"/>
              <w:jc w:val="left"/>
            </w:pPr>
            <w:r>
              <w:t>Fife, No. 27417</w:t>
            </w:r>
          </w:p>
        </w:tc>
        <w:tc>
          <w:tcPr>
            <w:tcW w:w="2014" w:type="dxa"/>
            <w:tcBorders>
              <w:top w:val="dashed" w:sz="4" w:space="0" w:color="000000"/>
              <w:left w:val="nil"/>
              <w:bottom w:val="dashed" w:sz="4" w:space="0" w:color="000000"/>
              <w:right w:val="nil"/>
            </w:tcBorders>
            <w:vAlign w:val="center"/>
          </w:tcPr>
          <w:p w14:paraId="6DCCC837" w14:textId="37B3D72A" w:rsidR="006A603C" w:rsidRDefault="00FF5FFA" w:rsidP="00871D49">
            <w:pPr>
              <w:spacing w:after="0" w:line="259" w:lineRule="auto"/>
              <w:ind w:left="495" w:firstLine="0"/>
              <w:jc w:val="center"/>
            </w:pPr>
            <w:r>
              <w:t>$</w:t>
            </w:r>
            <w:r w:rsidR="000D31E4" w:rsidRPr="000D31E4">
              <w:t>5,</w:t>
            </w:r>
            <w:r w:rsidR="00C473B4">
              <w:t>595</w:t>
            </w:r>
          </w:p>
        </w:tc>
        <w:tc>
          <w:tcPr>
            <w:tcW w:w="2014" w:type="dxa"/>
            <w:tcBorders>
              <w:top w:val="dashed" w:sz="4" w:space="0" w:color="000000"/>
              <w:left w:val="nil"/>
              <w:bottom w:val="dashed" w:sz="4" w:space="0" w:color="000000"/>
              <w:right w:val="double" w:sz="4" w:space="0" w:color="000000"/>
            </w:tcBorders>
            <w:vAlign w:val="center"/>
          </w:tcPr>
          <w:p w14:paraId="6429C6DC" w14:textId="132AEF10" w:rsidR="006A603C" w:rsidRDefault="00FF5FFA" w:rsidP="00871D49">
            <w:pPr>
              <w:spacing w:after="0" w:line="259" w:lineRule="auto"/>
              <w:ind w:left="135" w:firstLine="0"/>
              <w:jc w:val="center"/>
            </w:pPr>
            <w:r>
              <w:t>$</w:t>
            </w:r>
            <w:r w:rsidR="000D31E4" w:rsidRPr="000D31E4">
              <w:t>1,</w:t>
            </w:r>
            <w:r w:rsidR="00FB3CDF">
              <w:t>747</w:t>
            </w:r>
          </w:p>
        </w:tc>
      </w:tr>
      <w:tr w:rsidR="006A603C" w14:paraId="0FCA4213" w14:textId="77777777" w:rsidTr="00871D49">
        <w:trPr>
          <w:trHeight w:val="286"/>
        </w:trPr>
        <w:tc>
          <w:tcPr>
            <w:tcW w:w="3638" w:type="dxa"/>
            <w:tcBorders>
              <w:top w:val="dashed" w:sz="4" w:space="0" w:color="000000"/>
              <w:left w:val="double" w:sz="4" w:space="0" w:color="000000"/>
              <w:bottom w:val="dashed" w:sz="4" w:space="0" w:color="000000"/>
              <w:right w:val="nil"/>
            </w:tcBorders>
          </w:tcPr>
          <w:p w14:paraId="02C5F45B" w14:textId="77777777" w:rsidR="006A603C" w:rsidRDefault="00FF5FFA">
            <w:pPr>
              <w:spacing w:after="0" w:line="259" w:lineRule="auto"/>
              <w:ind w:left="107" w:firstLine="0"/>
              <w:jc w:val="left"/>
            </w:pPr>
            <w:r>
              <w:t>Highline, No. 17401</w:t>
            </w:r>
          </w:p>
        </w:tc>
        <w:tc>
          <w:tcPr>
            <w:tcW w:w="2014" w:type="dxa"/>
            <w:tcBorders>
              <w:top w:val="dashed" w:sz="4" w:space="0" w:color="000000"/>
              <w:left w:val="nil"/>
              <w:bottom w:val="dashed" w:sz="4" w:space="0" w:color="000000"/>
              <w:right w:val="nil"/>
            </w:tcBorders>
            <w:vAlign w:val="center"/>
          </w:tcPr>
          <w:p w14:paraId="7F3BE7A6" w14:textId="77777777" w:rsidR="006A603C" w:rsidRDefault="00FF5FFA" w:rsidP="00871D49">
            <w:pPr>
              <w:spacing w:after="0" w:line="259" w:lineRule="auto"/>
              <w:ind w:left="495" w:firstLine="0"/>
              <w:jc w:val="center"/>
            </w:pPr>
            <w:r>
              <w:t>--</w:t>
            </w:r>
          </w:p>
        </w:tc>
        <w:tc>
          <w:tcPr>
            <w:tcW w:w="2014" w:type="dxa"/>
            <w:tcBorders>
              <w:top w:val="dashed" w:sz="4" w:space="0" w:color="000000"/>
              <w:left w:val="nil"/>
              <w:bottom w:val="dashed" w:sz="4" w:space="0" w:color="000000"/>
              <w:right w:val="double" w:sz="4" w:space="0" w:color="000000"/>
            </w:tcBorders>
            <w:vAlign w:val="center"/>
          </w:tcPr>
          <w:p w14:paraId="3832CC09" w14:textId="77777777" w:rsidR="006A603C" w:rsidRDefault="00FF5FFA" w:rsidP="00871D49">
            <w:pPr>
              <w:spacing w:after="0" w:line="259" w:lineRule="auto"/>
              <w:ind w:left="135" w:firstLine="0"/>
              <w:jc w:val="center"/>
            </w:pPr>
            <w:r>
              <w:t>--</w:t>
            </w:r>
          </w:p>
        </w:tc>
      </w:tr>
      <w:tr w:rsidR="006A603C" w14:paraId="7A80C659" w14:textId="77777777" w:rsidTr="00871D49">
        <w:trPr>
          <w:trHeight w:val="286"/>
        </w:trPr>
        <w:tc>
          <w:tcPr>
            <w:tcW w:w="3638" w:type="dxa"/>
            <w:tcBorders>
              <w:top w:val="dashed" w:sz="4" w:space="0" w:color="000000"/>
              <w:left w:val="double" w:sz="4" w:space="0" w:color="000000"/>
              <w:bottom w:val="dashed" w:sz="4" w:space="0" w:color="000000"/>
              <w:right w:val="nil"/>
            </w:tcBorders>
          </w:tcPr>
          <w:p w14:paraId="5D558D58" w14:textId="77777777" w:rsidR="006A603C" w:rsidRDefault="00FF5FFA">
            <w:pPr>
              <w:spacing w:after="0" w:line="259" w:lineRule="auto"/>
              <w:ind w:left="107" w:firstLine="0"/>
              <w:jc w:val="left"/>
            </w:pPr>
            <w:r>
              <w:t>Issaquah, No. 17411</w:t>
            </w:r>
          </w:p>
        </w:tc>
        <w:tc>
          <w:tcPr>
            <w:tcW w:w="2014" w:type="dxa"/>
            <w:tcBorders>
              <w:top w:val="dashed" w:sz="4" w:space="0" w:color="000000"/>
              <w:left w:val="nil"/>
              <w:bottom w:val="dashed" w:sz="4" w:space="0" w:color="000000"/>
              <w:right w:val="nil"/>
            </w:tcBorders>
            <w:vAlign w:val="center"/>
          </w:tcPr>
          <w:p w14:paraId="361C5CE2" w14:textId="72B590AE" w:rsidR="006A603C" w:rsidRDefault="00B02083" w:rsidP="00871D49">
            <w:pPr>
              <w:spacing w:after="0" w:line="259" w:lineRule="auto"/>
              <w:ind w:left="495" w:firstLine="0"/>
              <w:jc w:val="center"/>
            </w:pPr>
            <w:r>
              <w:t>--</w:t>
            </w:r>
          </w:p>
        </w:tc>
        <w:tc>
          <w:tcPr>
            <w:tcW w:w="2014" w:type="dxa"/>
            <w:tcBorders>
              <w:top w:val="dashed" w:sz="4" w:space="0" w:color="000000"/>
              <w:left w:val="nil"/>
              <w:bottom w:val="dashed" w:sz="4" w:space="0" w:color="000000"/>
              <w:right w:val="double" w:sz="4" w:space="0" w:color="000000"/>
            </w:tcBorders>
            <w:vAlign w:val="center"/>
          </w:tcPr>
          <w:p w14:paraId="792423DD" w14:textId="68F3FC74" w:rsidR="006A603C" w:rsidRDefault="000D31E4" w:rsidP="00871D49">
            <w:pPr>
              <w:spacing w:after="0" w:line="259" w:lineRule="auto"/>
              <w:ind w:left="135" w:firstLine="0"/>
              <w:jc w:val="center"/>
            </w:pPr>
            <w:r w:rsidRPr="000D31E4">
              <w:t>--</w:t>
            </w:r>
          </w:p>
        </w:tc>
      </w:tr>
      <w:tr w:rsidR="006A603C" w14:paraId="5630AE4E" w14:textId="77777777" w:rsidTr="00871D49">
        <w:trPr>
          <w:trHeight w:val="286"/>
        </w:trPr>
        <w:tc>
          <w:tcPr>
            <w:tcW w:w="3638" w:type="dxa"/>
            <w:tcBorders>
              <w:top w:val="dashed" w:sz="4" w:space="0" w:color="000000"/>
              <w:left w:val="double" w:sz="4" w:space="0" w:color="000000"/>
              <w:bottom w:val="dashed" w:sz="4" w:space="0" w:color="000000"/>
              <w:right w:val="nil"/>
            </w:tcBorders>
          </w:tcPr>
          <w:p w14:paraId="39464848" w14:textId="77777777" w:rsidR="006A603C" w:rsidRDefault="00FF5FFA">
            <w:pPr>
              <w:spacing w:after="0" w:line="259" w:lineRule="auto"/>
              <w:ind w:left="107" w:firstLine="0"/>
              <w:jc w:val="left"/>
            </w:pPr>
            <w:r>
              <w:t>Kent, No. 17415</w:t>
            </w:r>
          </w:p>
        </w:tc>
        <w:tc>
          <w:tcPr>
            <w:tcW w:w="2014" w:type="dxa"/>
            <w:tcBorders>
              <w:top w:val="dashed" w:sz="4" w:space="0" w:color="000000"/>
              <w:left w:val="nil"/>
              <w:bottom w:val="dashed" w:sz="4" w:space="0" w:color="000000"/>
              <w:right w:val="nil"/>
            </w:tcBorders>
            <w:vAlign w:val="center"/>
          </w:tcPr>
          <w:p w14:paraId="584FC70D" w14:textId="48117072" w:rsidR="006A603C" w:rsidRDefault="00FF5FFA" w:rsidP="00871D49">
            <w:pPr>
              <w:spacing w:after="0" w:line="259" w:lineRule="auto"/>
              <w:ind w:left="495" w:firstLine="0"/>
              <w:jc w:val="center"/>
            </w:pPr>
            <w:r>
              <w:t>-</w:t>
            </w:r>
            <w:r w:rsidR="00871D49">
              <w:t>-</w:t>
            </w:r>
          </w:p>
        </w:tc>
        <w:tc>
          <w:tcPr>
            <w:tcW w:w="2014" w:type="dxa"/>
            <w:tcBorders>
              <w:top w:val="dashed" w:sz="4" w:space="0" w:color="000000"/>
              <w:left w:val="nil"/>
              <w:bottom w:val="dashed" w:sz="4" w:space="0" w:color="000000"/>
              <w:right w:val="double" w:sz="4" w:space="0" w:color="000000"/>
            </w:tcBorders>
            <w:vAlign w:val="center"/>
          </w:tcPr>
          <w:p w14:paraId="07940FD9" w14:textId="60139716" w:rsidR="006A603C" w:rsidRDefault="00871D49" w:rsidP="00871D49">
            <w:pPr>
              <w:spacing w:after="0" w:line="259" w:lineRule="auto"/>
              <w:ind w:left="135" w:firstLine="0"/>
              <w:jc w:val="center"/>
            </w:pPr>
            <w:r>
              <w:t>-</w:t>
            </w:r>
            <w:r w:rsidR="00FF5FFA">
              <w:t>-</w:t>
            </w:r>
          </w:p>
        </w:tc>
      </w:tr>
      <w:tr w:rsidR="006A603C" w14:paraId="157E99F5" w14:textId="77777777" w:rsidTr="00871D49">
        <w:trPr>
          <w:trHeight w:val="286"/>
        </w:trPr>
        <w:tc>
          <w:tcPr>
            <w:tcW w:w="3638" w:type="dxa"/>
            <w:tcBorders>
              <w:top w:val="dashed" w:sz="4" w:space="0" w:color="000000"/>
              <w:left w:val="double" w:sz="4" w:space="0" w:color="000000"/>
              <w:bottom w:val="dashed" w:sz="4" w:space="0" w:color="000000"/>
              <w:right w:val="nil"/>
            </w:tcBorders>
          </w:tcPr>
          <w:p w14:paraId="249BC233" w14:textId="77777777" w:rsidR="006A603C" w:rsidRDefault="00FF5FFA">
            <w:pPr>
              <w:spacing w:after="0" w:line="259" w:lineRule="auto"/>
              <w:ind w:left="107" w:firstLine="0"/>
              <w:jc w:val="left"/>
            </w:pPr>
            <w:r>
              <w:t>Lake Washington, No. 17414</w:t>
            </w:r>
          </w:p>
        </w:tc>
        <w:tc>
          <w:tcPr>
            <w:tcW w:w="2014" w:type="dxa"/>
            <w:tcBorders>
              <w:top w:val="dashed" w:sz="4" w:space="0" w:color="000000"/>
              <w:left w:val="nil"/>
              <w:bottom w:val="dashed" w:sz="4" w:space="0" w:color="000000"/>
              <w:right w:val="nil"/>
            </w:tcBorders>
            <w:vAlign w:val="center"/>
          </w:tcPr>
          <w:p w14:paraId="0675EC88" w14:textId="492CA194" w:rsidR="006A603C" w:rsidRDefault="00FF5FFA" w:rsidP="00871D49">
            <w:pPr>
              <w:spacing w:after="0" w:line="259" w:lineRule="auto"/>
              <w:ind w:left="495" w:firstLine="0"/>
              <w:jc w:val="center"/>
            </w:pPr>
            <w:r>
              <w:t>$</w:t>
            </w:r>
            <w:r w:rsidR="006607E4">
              <w:t>7</w:t>
            </w:r>
            <w:r w:rsidR="000D31E4" w:rsidRPr="000D31E4">
              <w:t>,2</w:t>
            </w:r>
            <w:r w:rsidR="006607E4">
              <w:t>77</w:t>
            </w:r>
          </w:p>
        </w:tc>
        <w:tc>
          <w:tcPr>
            <w:tcW w:w="2014" w:type="dxa"/>
            <w:tcBorders>
              <w:top w:val="dashed" w:sz="4" w:space="0" w:color="000000"/>
              <w:left w:val="nil"/>
              <w:bottom w:val="dashed" w:sz="4" w:space="0" w:color="000000"/>
              <w:right w:val="double" w:sz="4" w:space="0" w:color="000000"/>
            </w:tcBorders>
            <w:vAlign w:val="center"/>
          </w:tcPr>
          <w:p w14:paraId="74FFD440" w14:textId="72FC4E05" w:rsidR="006A603C" w:rsidRDefault="006607E4" w:rsidP="00871D49">
            <w:pPr>
              <w:spacing w:after="0" w:line="259" w:lineRule="auto"/>
              <w:ind w:left="135" w:firstLine="0"/>
              <w:jc w:val="center"/>
            </w:pPr>
            <w:r>
              <w:t>$170</w:t>
            </w:r>
          </w:p>
        </w:tc>
      </w:tr>
      <w:tr w:rsidR="006A603C" w14:paraId="2478613A" w14:textId="77777777" w:rsidTr="00871D49">
        <w:trPr>
          <w:trHeight w:val="286"/>
        </w:trPr>
        <w:tc>
          <w:tcPr>
            <w:tcW w:w="3638" w:type="dxa"/>
            <w:tcBorders>
              <w:top w:val="dashed" w:sz="4" w:space="0" w:color="000000"/>
              <w:left w:val="double" w:sz="4" w:space="0" w:color="000000"/>
              <w:bottom w:val="dashed" w:sz="4" w:space="0" w:color="000000"/>
              <w:right w:val="nil"/>
            </w:tcBorders>
          </w:tcPr>
          <w:p w14:paraId="34E5057A" w14:textId="77777777" w:rsidR="006A603C" w:rsidRDefault="00FF5FFA">
            <w:pPr>
              <w:spacing w:after="0" w:line="259" w:lineRule="auto"/>
              <w:ind w:left="107" w:firstLine="0"/>
              <w:jc w:val="left"/>
            </w:pPr>
            <w:r>
              <w:t>Northshore, No. 17417</w:t>
            </w:r>
          </w:p>
        </w:tc>
        <w:tc>
          <w:tcPr>
            <w:tcW w:w="2014" w:type="dxa"/>
            <w:tcBorders>
              <w:top w:val="dashed" w:sz="4" w:space="0" w:color="000000"/>
              <w:left w:val="nil"/>
              <w:bottom w:val="dashed" w:sz="4" w:space="0" w:color="000000"/>
              <w:right w:val="nil"/>
            </w:tcBorders>
            <w:vAlign w:val="center"/>
          </w:tcPr>
          <w:p w14:paraId="510FD902" w14:textId="2644D58F" w:rsidR="006A603C" w:rsidRDefault="00FF5FFA" w:rsidP="00871D49">
            <w:pPr>
              <w:spacing w:after="0" w:line="259" w:lineRule="auto"/>
              <w:ind w:left="495" w:firstLine="0"/>
              <w:jc w:val="center"/>
            </w:pPr>
            <w:r>
              <w:t>$</w:t>
            </w:r>
            <w:r w:rsidR="000D31E4" w:rsidRPr="000D31E4">
              <w:t>1</w:t>
            </w:r>
            <w:r w:rsidR="004B5F7C">
              <w:t>6</w:t>
            </w:r>
            <w:r w:rsidR="000D31E4" w:rsidRPr="000D31E4">
              <w:t>,5</w:t>
            </w:r>
            <w:r w:rsidR="004B5F7C">
              <w:t>50</w:t>
            </w:r>
          </w:p>
        </w:tc>
        <w:tc>
          <w:tcPr>
            <w:tcW w:w="2014" w:type="dxa"/>
            <w:tcBorders>
              <w:top w:val="dashed" w:sz="4" w:space="0" w:color="000000"/>
              <w:left w:val="nil"/>
              <w:bottom w:val="dashed" w:sz="4" w:space="0" w:color="000000"/>
              <w:right w:val="double" w:sz="4" w:space="0" w:color="000000"/>
            </w:tcBorders>
            <w:vAlign w:val="center"/>
          </w:tcPr>
          <w:p w14:paraId="68050AB3" w14:textId="3A375B54" w:rsidR="006A603C" w:rsidRDefault="00FF5FFA" w:rsidP="00871D49">
            <w:pPr>
              <w:spacing w:after="0" w:line="259" w:lineRule="auto"/>
              <w:ind w:left="135" w:firstLine="0"/>
              <w:jc w:val="center"/>
            </w:pPr>
            <w:r>
              <w:t>$</w:t>
            </w:r>
            <w:r w:rsidR="006607E4">
              <w:t>5</w:t>
            </w:r>
            <w:r w:rsidR="00AF187D" w:rsidRPr="00AF187D">
              <w:t>,</w:t>
            </w:r>
            <w:r w:rsidR="006607E4">
              <w:t>000</w:t>
            </w:r>
          </w:p>
        </w:tc>
      </w:tr>
      <w:tr w:rsidR="006A603C" w14:paraId="40F62158" w14:textId="77777777" w:rsidTr="00871D49">
        <w:trPr>
          <w:trHeight w:val="286"/>
        </w:trPr>
        <w:tc>
          <w:tcPr>
            <w:tcW w:w="3638" w:type="dxa"/>
            <w:tcBorders>
              <w:top w:val="dashed" w:sz="4" w:space="0" w:color="000000"/>
              <w:left w:val="double" w:sz="4" w:space="0" w:color="000000"/>
              <w:bottom w:val="dashed" w:sz="4" w:space="0" w:color="000000"/>
              <w:right w:val="nil"/>
            </w:tcBorders>
          </w:tcPr>
          <w:p w14:paraId="3936ACA3" w14:textId="77777777" w:rsidR="006A603C" w:rsidRDefault="00FF5FFA">
            <w:pPr>
              <w:spacing w:after="0" w:line="259" w:lineRule="auto"/>
              <w:ind w:left="107" w:firstLine="0"/>
              <w:jc w:val="left"/>
            </w:pPr>
            <w:r>
              <w:t>Renton, No. 17403</w:t>
            </w:r>
          </w:p>
        </w:tc>
        <w:tc>
          <w:tcPr>
            <w:tcW w:w="2014" w:type="dxa"/>
            <w:tcBorders>
              <w:top w:val="dashed" w:sz="4" w:space="0" w:color="000000"/>
              <w:left w:val="nil"/>
              <w:bottom w:val="dashed" w:sz="4" w:space="0" w:color="000000"/>
              <w:right w:val="nil"/>
            </w:tcBorders>
            <w:vAlign w:val="center"/>
          </w:tcPr>
          <w:p w14:paraId="0189B665" w14:textId="3286FB26" w:rsidR="006A603C" w:rsidRDefault="004B5F7C" w:rsidP="00871D49">
            <w:pPr>
              <w:spacing w:after="0" w:line="259" w:lineRule="auto"/>
              <w:ind w:left="495" w:firstLine="0"/>
              <w:jc w:val="center"/>
            </w:pPr>
            <w:r>
              <w:t>--</w:t>
            </w:r>
          </w:p>
        </w:tc>
        <w:tc>
          <w:tcPr>
            <w:tcW w:w="2014" w:type="dxa"/>
            <w:tcBorders>
              <w:top w:val="dashed" w:sz="4" w:space="0" w:color="000000"/>
              <w:left w:val="nil"/>
              <w:bottom w:val="dashed" w:sz="4" w:space="0" w:color="000000"/>
              <w:right w:val="double" w:sz="4" w:space="0" w:color="000000"/>
            </w:tcBorders>
            <w:vAlign w:val="center"/>
          </w:tcPr>
          <w:p w14:paraId="1B26F79E" w14:textId="73BBAB6F" w:rsidR="006A603C" w:rsidRDefault="004B5F7C" w:rsidP="00871D49">
            <w:pPr>
              <w:spacing w:after="0" w:line="259" w:lineRule="auto"/>
              <w:ind w:left="135" w:firstLine="0"/>
              <w:jc w:val="center"/>
            </w:pPr>
            <w:r>
              <w:t>--</w:t>
            </w:r>
          </w:p>
        </w:tc>
      </w:tr>
      <w:tr w:rsidR="006A603C" w14:paraId="6FBAE694" w14:textId="77777777" w:rsidTr="00871D49">
        <w:trPr>
          <w:trHeight w:val="286"/>
        </w:trPr>
        <w:tc>
          <w:tcPr>
            <w:tcW w:w="3638" w:type="dxa"/>
            <w:tcBorders>
              <w:top w:val="dashed" w:sz="4" w:space="0" w:color="000000"/>
              <w:left w:val="double" w:sz="4" w:space="0" w:color="000000"/>
              <w:bottom w:val="dashed" w:sz="4" w:space="0" w:color="000000"/>
              <w:right w:val="nil"/>
            </w:tcBorders>
          </w:tcPr>
          <w:p w14:paraId="3D6A141C" w14:textId="77777777" w:rsidR="006A603C" w:rsidRDefault="00FF5FFA">
            <w:pPr>
              <w:spacing w:after="0" w:line="259" w:lineRule="auto"/>
              <w:ind w:left="107" w:firstLine="0"/>
              <w:jc w:val="left"/>
            </w:pPr>
            <w:r>
              <w:t>Riverview, No. 17407</w:t>
            </w:r>
          </w:p>
        </w:tc>
        <w:tc>
          <w:tcPr>
            <w:tcW w:w="2014" w:type="dxa"/>
            <w:tcBorders>
              <w:top w:val="dashed" w:sz="4" w:space="0" w:color="000000"/>
              <w:left w:val="nil"/>
              <w:bottom w:val="dashed" w:sz="4" w:space="0" w:color="000000"/>
              <w:right w:val="nil"/>
            </w:tcBorders>
            <w:vAlign w:val="center"/>
          </w:tcPr>
          <w:p w14:paraId="29923DF4" w14:textId="4D3A1F54" w:rsidR="006A603C" w:rsidRDefault="00053115" w:rsidP="00871D49">
            <w:pPr>
              <w:spacing w:after="0" w:line="259" w:lineRule="auto"/>
              <w:ind w:left="495" w:firstLine="0"/>
              <w:jc w:val="center"/>
            </w:pPr>
            <w:r>
              <w:t>--</w:t>
            </w:r>
          </w:p>
        </w:tc>
        <w:tc>
          <w:tcPr>
            <w:tcW w:w="2014" w:type="dxa"/>
            <w:tcBorders>
              <w:top w:val="dashed" w:sz="4" w:space="0" w:color="000000"/>
              <w:left w:val="nil"/>
              <w:bottom w:val="dashed" w:sz="4" w:space="0" w:color="000000"/>
              <w:right w:val="double" w:sz="4" w:space="0" w:color="000000"/>
            </w:tcBorders>
            <w:vAlign w:val="center"/>
          </w:tcPr>
          <w:p w14:paraId="6A5F93ED" w14:textId="63612414" w:rsidR="006A603C" w:rsidRDefault="00053115" w:rsidP="00871D49">
            <w:pPr>
              <w:spacing w:after="0" w:line="259" w:lineRule="auto"/>
              <w:ind w:left="135" w:firstLine="0"/>
              <w:jc w:val="center"/>
            </w:pPr>
            <w:r>
              <w:t>--</w:t>
            </w:r>
          </w:p>
        </w:tc>
      </w:tr>
      <w:tr w:rsidR="006A603C" w14:paraId="216EAD27" w14:textId="77777777" w:rsidTr="00871D49">
        <w:trPr>
          <w:trHeight w:val="286"/>
        </w:trPr>
        <w:tc>
          <w:tcPr>
            <w:tcW w:w="3638" w:type="dxa"/>
            <w:tcBorders>
              <w:top w:val="dashed" w:sz="4" w:space="0" w:color="000000"/>
              <w:left w:val="double" w:sz="4" w:space="0" w:color="000000"/>
              <w:bottom w:val="dashed" w:sz="4" w:space="0" w:color="000000"/>
              <w:right w:val="nil"/>
            </w:tcBorders>
          </w:tcPr>
          <w:p w14:paraId="702CA2CA" w14:textId="77777777" w:rsidR="006A603C" w:rsidRDefault="00FF5FFA">
            <w:pPr>
              <w:spacing w:after="0" w:line="259" w:lineRule="auto"/>
              <w:ind w:left="107" w:firstLine="0"/>
              <w:jc w:val="left"/>
            </w:pPr>
            <w:r>
              <w:t>Snoqualmie Valley, No. 17410</w:t>
            </w:r>
          </w:p>
        </w:tc>
        <w:tc>
          <w:tcPr>
            <w:tcW w:w="2014" w:type="dxa"/>
            <w:tcBorders>
              <w:top w:val="dashed" w:sz="4" w:space="0" w:color="000000"/>
              <w:left w:val="nil"/>
              <w:bottom w:val="dashed" w:sz="4" w:space="0" w:color="000000"/>
              <w:right w:val="nil"/>
            </w:tcBorders>
            <w:vAlign w:val="center"/>
          </w:tcPr>
          <w:p w14:paraId="7B6E164A" w14:textId="2F239A40" w:rsidR="006A603C" w:rsidRDefault="00FF5FFA" w:rsidP="00871D49">
            <w:pPr>
              <w:spacing w:after="0" w:line="259" w:lineRule="auto"/>
              <w:ind w:left="495" w:firstLine="0"/>
              <w:jc w:val="center"/>
            </w:pPr>
            <w:r>
              <w:t>$</w:t>
            </w:r>
            <w:r w:rsidR="00AF187D" w:rsidRPr="00AF187D">
              <w:t>1</w:t>
            </w:r>
            <w:r w:rsidR="00053115">
              <w:t>3</w:t>
            </w:r>
            <w:r w:rsidR="00AF187D" w:rsidRPr="00AF187D">
              <w:t>,</w:t>
            </w:r>
            <w:r w:rsidR="00053115">
              <w:t>126</w:t>
            </w:r>
            <w:r w:rsidR="00AF187D" w:rsidRPr="00AF187D">
              <w:t>.</w:t>
            </w:r>
            <w:r w:rsidR="00053115">
              <w:t>84</w:t>
            </w:r>
          </w:p>
        </w:tc>
        <w:tc>
          <w:tcPr>
            <w:tcW w:w="2014" w:type="dxa"/>
            <w:tcBorders>
              <w:top w:val="dashed" w:sz="4" w:space="0" w:color="000000"/>
              <w:left w:val="nil"/>
              <w:bottom w:val="dashed" w:sz="4" w:space="0" w:color="000000"/>
              <w:right w:val="double" w:sz="4" w:space="0" w:color="000000"/>
            </w:tcBorders>
            <w:vAlign w:val="center"/>
          </w:tcPr>
          <w:p w14:paraId="495A1F46" w14:textId="116EBD27" w:rsidR="006A603C" w:rsidRDefault="00FF5FFA" w:rsidP="00871D49">
            <w:pPr>
              <w:spacing w:after="0" w:line="259" w:lineRule="auto"/>
              <w:ind w:left="135" w:firstLine="0"/>
              <w:jc w:val="center"/>
            </w:pPr>
            <w:r>
              <w:t>$</w:t>
            </w:r>
            <w:r w:rsidR="00053115">
              <w:t>5,000</w:t>
            </w:r>
          </w:p>
        </w:tc>
      </w:tr>
      <w:tr w:rsidR="006A603C" w14:paraId="55260504" w14:textId="77777777" w:rsidTr="00871D49">
        <w:trPr>
          <w:trHeight w:val="286"/>
        </w:trPr>
        <w:tc>
          <w:tcPr>
            <w:tcW w:w="3638" w:type="dxa"/>
            <w:tcBorders>
              <w:top w:val="dashed" w:sz="4" w:space="0" w:color="000000"/>
              <w:left w:val="double" w:sz="4" w:space="0" w:color="000000"/>
              <w:bottom w:val="double" w:sz="4" w:space="0" w:color="000000"/>
              <w:right w:val="nil"/>
            </w:tcBorders>
          </w:tcPr>
          <w:p w14:paraId="2DF57A26" w14:textId="77777777" w:rsidR="006A603C" w:rsidRDefault="00FF5FFA">
            <w:pPr>
              <w:spacing w:after="0" w:line="259" w:lineRule="auto"/>
              <w:ind w:left="107" w:firstLine="0"/>
              <w:jc w:val="left"/>
            </w:pPr>
            <w:r>
              <w:t>Tahoma, No. 17409</w:t>
            </w:r>
          </w:p>
        </w:tc>
        <w:tc>
          <w:tcPr>
            <w:tcW w:w="2014" w:type="dxa"/>
            <w:tcBorders>
              <w:top w:val="dashed" w:sz="4" w:space="0" w:color="000000"/>
              <w:left w:val="nil"/>
              <w:bottom w:val="double" w:sz="4" w:space="0" w:color="000000"/>
              <w:right w:val="nil"/>
            </w:tcBorders>
            <w:vAlign w:val="center"/>
          </w:tcPr>
          <w:p w14:paraId="3D5BDA7F" w14:textId="7E33E4AC" w:rsidR="006A603C" w:rsidRDefault="00FF5FFA" w:rsidP="00871D49">
            <w:pPr>
              <w:spacing w:after="0" w:line="259" w:lineRule="auto"/>
              <w:ind w:left="495" w:firstLine="0"/>
              <w:jc w:val="center"/>
            </w:pPr>
            <w:r>
              <w:t>$</w:t>
            </w:r>
            <w:r w:rsidR="00950C0B">
              <w:t>3</w:t>
            </w:r>
            <w:r w:rsidR="00AF187D" w:rsidRPr="00AF187D">
              <w:t>,</w:t>
            </w:r>
            <w:r w:rsidR="00950C0B">
              <w:t>465</w:t>
            </w:r>
          </w:p>
        </w:tc>
        <w:tc>
          <w:tcPr>
            <w:tcW w:w="2014" w:type="dxa"/>
            <w:tcBorders>
              <w:top w:val="dashed" w:sz="4" w:space="0" w:color="000000"/>
              <w:left w:val="nil"/>
              <w:bottom w:val="double" w:sz="4" w:space="0" w:color="000000"/>
              <w:right w:val="double" w:sz="4" w:space="0" w:color="000000"/>
            </w:tcBorders>
            <w:vAlign w:val="center"/>
          </w:tcPr>
          <w:p w14:paraId="07DA1A0C" w14:textId="6FE4CB3C" w:rsidR="006A603C" w:rsidRDefault="00FF5FFA" w:rsidP="00871D49">
            <w:pPr>
              <w:spacing w:after="0" w:line="259" w:lineRule="auto"/>
              <w:ind w:left="135" w:firstLine="0"/>
              <w:jc w:val="center"/>
            </w:pPr>
            <w:r>
              <w:t>$</w:t>
            </w:r>
            <w:r w:rsidR="00AF187D" w:rsidRPr="00AF187D">
              <w:t>1,</w:t>
            </w:r>
            <w:r w:rsidR="00950C0B">
              <w:t>5</w:t>
            </w:r>
            <w:r w:rsidR="00AF187D" w:rsidRPr="00AF187D">
              <w:t>6</w:t>
            </w:r>
            <w:r w:rsidR="00950C0B">
              <w:t>8</w:t>
            </w:r>
          </w:p>
        </w:tc>
      </w:tr>
    </w:tbl>
    <w:p w14:paraId="5BB9A6F8" w14:textId="77777777" w:rsidR="00304EAD" w:rsidRDefault="00304EAD"/>
    <w:p w14:paraId="43CB8BF9" w14:textId="77777777" w:rsidR="00FF5FFA" w:rsidRDefault="00FF5FFA"/>
    <w:p w14:paraId="25F3A3A7" w14:textId="77777777" w:rsidR="00FF5FFA" w:rsidRDefault="00FF5FFA"/>
    <w:p w14:paraId="5B1E9D70" w14:textId="77777777" w:rsidR="00FF5FFA" w:rsidRDefault="00FF5FFA"/>
    <w:p w14:paraId="25898D32" w14:textId="77777777" w:rsidR="00FF5FFA" w:rsidRDefault="00FF5FFA"/>
    <w:p w14:paraId="4CFF9CE1" w14:textId="77777777" w:rsidR="00FF5FFA" w:rsidRDefault="00FF5FFA"/>
    <w:p w14:paraId="4868569C" w14:textId="5600EAFD" w:rsidR="00FF5FFA" w:rsidRDefault="00FF5FFA" w:rsidP="00FF5FFA">
      <w:pPr>
        <w:spacing w:after="0" w:line="259" w:lineRule="auto"/>
        <w:ind w:right="-13"/>
        <w:jc w:val="right"/>
      </w:pPr>
      <w:r>
        <w:rPr>
          <w:b/>
        </w:rPr>
        <w:lastRenderedPageBreak/>
        <w:t>202</w:t>
      </w:r>
      <w:r w:rsidR="002A48F2">
        <w:rPr>
          <w:b/>
        </w:rPr>
        <w:t>6</w:t>
      </w:r>
      <w:r>
        <w:rPr>
          <w:b/>
        </w:rPr>
        <w:t xml:space="preserve"> Fee Guide 03</w:t>
      </w:r>
    </w:p>
    <w:p w14:paraId="65CF7536" w14:textId="77777777" w:rsidR="00FF5FFA" w:rsidRDefault="00FF5FFA" w:rsidP="00FF5FFA">
      <w:pPr>
        <w:spacing w:after="197" w:line="259" w:lineRule="auto"/>
        <w:ind w:right="-13"/>
        <w:jc w:val="right"/>
      </w:pPr>
      <w:r>
        <w:rPr>
          <w:b/>
        </w:rPr>
        <w:t>School Impact Mitigation Measures</w:t>
      </w:r>
    </w:p>
    <w:p w14:paraId="768D649C" w14:textId="2959BDCB" w:rsidR="00FF5FFA" w:rsidRDefault="00FF5FFA"/>
    <w:p w14:paraId="3FDD3874" w14:textId="77777777" w:rsidR="00404EAC" w:rsidRDefault="00404EAC" w:rsidP="00404EAC">
      <w:r>
        <w:t xml:space="preserve">Single family units are defined as single detached residences, and multiunit units are defined as duplexes, </w:t>
      </w:r>
      <w:proofErr w:type="spellStart"/>
      <w:r>
        <w:t>houseplexes</w:t>
      </w:r>
      <w:proofErr w:type="spellEnd"/>
      <w:r>
        <w:t>, cottage housing, townhouses, and apartments. The following types of developments are exempt from school impact fees:</w:t>
      </w:r>
    </w:p>
    <w:p w14:paraId="24CB9568" w14:textId="77777777" w:rsidR="00404EAC" w:rsidRDefault="00404EAC" w:rsidP="00404EAC">
      <w:pPr>
        <w:numPr>
          <w:ilvl w:val="0"/>
          <w:numId w:val="1"/>
        </w:numPr>
        <w:ind w:hanging="360"/>
      </w:pPr>
      <w:r>
        <w:t>Any form of housing exclusively for the elderly, including nursing homes and retirement centers</w:t>
      </w:r>
    </w:p>
    <w:p w14:paraId="312F7366" w14:textId="77777777" w:rsidR="00404EAC" w:rsidRDefault="00404EAC" w:rsidP="00404EAC">
      <w:pPr>
        <w:numPr>
          <w:ilvl w:val="0"/>
          <w:numId w:val="1"/>
        </w:numPr>
        <w:ind w:hanging="360"/>
      </w:pPr>
      <w:r>
        <w:t>Replacement or remodeling of existing homes</w:t>
      </w:r>
    </w:p>
    <w:p w14:paraId="046AE7E0" w14:textId="77777777" w:rsidR="00404EAC" w:rsidRDefault="00404EAC" w:rsidP="00404EAC">
      <w:pPr>
        <w:numPr>
          <w:ilvl w:val="0"/>
          <w:numId w:val="1"/>
        </w:numPr>
        <w:ind w:hanging="360"/>
      </w:pPr>
      <w:r>
        <w:t>Shelters for temporary placement</w:t>
      </w:r>
    </w:p>
    <w:p w14:paraId="144E2B5C" w14:textId="77777777" w:rsidR="00404EAC" w:rsidRDefault="00404EAC" w:rsidP="00404EAC">
      <w:pPr>
        <w:numPr>
          <w:ilvl w:val="0"/>
          <w:numId w:val="1"/>
        </w:numPr>
        <w:ind w:hanging="360"/>
      </w:pPr>
      <w:r>
        <w:t>Relocation facilities</w:t>
      </w:r>
    </w:p>
    <w:p w14:paraId="15E217A1" w14:textId="77777777" w:rsidR="00404EAC" w:rsidRDefault="00404EAC" w:rsidP="00404EAC">
      <w:pPr>
        <w:numPr>
          <w:ilvl w:val="0"/>
          <w:numId w:val="1"/>
        </w:numPr>
        <w:ind w:hanging="360"/>
      </w:pPr>
      <w:r>
        <w:t>Transitional housing facilities</w:t>
      </w:r>
    </w:p>
    <w:p w14:paraId="1DB13F9A" w14:textId="77777777" w:rsidR="00404EAC" w:rsidRDefault="00404EAC" w:rsidP="00404EAC">
      <w:pPr>
        <w:numPr>
          <w:ilvl w:val="0"/>
          <w:numId w:val="1"/>
        </w:numPr>
        <w:ind w:hanging="360"/>
      </w:pPr>
      <w:r>
        <w:t>Low-income housing</w:t>
      </w:r>
    </w:p>
    <w:p w14:paraId="33E1AEB1" w14:textId="77777777" w:rsidR="00404EAC" w:rsidRDefault="00404EAC" w:rsidP="00404EAC">
      <w:pPr>
        <w:numPr>
          <w:ilvl w:val="0"/>
          <w:numId w:val="1"/>
        </w:numPr>
        <w:ind w:hanging="360"/>
      </w:pPr>
      <w:r>
        <w:t>Community residential facilities (i.e., group homes)</w:t>
      </w:r>
    </w:p>
    <w:p w14:paraId="73F79B88" w14:textId="77777777" w:rsidR="00404EAC" w:rsidRDefault="00404EAC" w:rsidP="00404EAC">
      <w:pPr>
        <w:numPr>
          <w:ilvl w:val="0"/>
          <w:numId w:val="1"/>
        </w:numPr>
        <w:ind w:hanging="360"/>
      </w:pPr>
      <w:r>
        <w:t>Temporary dwellings for medical hardship</w:t>
      </w:r>
    </w:p>
    <w:p w14:paraId="6EC77862" w14:textId="7D16AB6F" w:rsidR="006A603C" w:rsidRDefault="00404EAC" w:rsidP="00404EAC">
      <w:pPr>
        <w:numPr>
          <w:ilvl w:val="0"/>
          <w:numId w:val="1"/>
        </w:numPr>
        <w:spacing w:after="705"/>
        <w:ind w:hanging="360"/>
      </w:pPr>
      <w:r>
        <w:t>Accessory dwelling unit</w:t>
      </w:r>
    </w:p>
    <w:p w14:paraId="75623272" w14:textId="18E6D224" w:rsidR="006A603C" w:rsidRDefault="00FF5FFA">
      <w:pPr>
        <w:pBdr>
          <w:top w:val="single" w:sz="2" w:space="0" w:color="000000"/>
          <w:left w:val="single" w:sz="2" w:space="0" w:color="000000"/>
          <w:bottom w:val="single" w:sz="2" w:space="0" w:color="000000"/>
          <w:right w:val="single" w:sz="2" w:space="0" w:color="000000"/>
        </w:pBdr>
        <w:spacing w:after="0" w:line="240" w:lineRule="auto"/>
        <w:ind w:left="1257" w:hanging="947"/>
        <w:jc w:val="left"/>
      </w:pPr>
      <w:r>
        <w:t xml:space="preserve">This information is a general guide and should not be used as a substitute for current codes and regulations.  Please contact King County Permitting at 206-296-6600, or email </w:t>
      </w:r>
      <w:r>
        <w:rPr>
          <w:color w:val="0563C1"/>
          <w:u w:val="single" w:color="0563C1"/>
        </w:rPr>
        <w:t>DPERWebInquiries@kingcounty.gov</w:t>
      </w:r>
      <w:r>
        <w:t xml:space="preserve"> for additional information.</w:t>
      </w:r>
    </w:p>
    <w:sectPr w:rsidR="006A603C">
      <w:headerReference w:type="even" r:id="rId8"/>
      <w:headerReference w:type="default" r:id="rId9"/>
      <w:footerReference w:type="even" r:id="rId10"/>
      <w:footerReference w:type="default" r:id="rId11"/>
      <w:headerReference w:type="first" r:id="rId12"/>
      <w:footerReference w:type="first" r:id="rId13"/>
      <w:pgSz w:w="12240" w:h="15840"/>
      <w:pgMar w:top="720" w:right="718" w:bottom="166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7D41" w14:textId="77777777" w:rsidR="000F53FF" w:rsidRDefault="000F53FF">
      <w:pPr>
        <w:spacing w:after="0" w:line="240" w:lineRule="auto"/>
      </w:pPr>
      <w:r>
        <w:separator/>
      </w:r>
    </w:p>
  </w:endnote>
  <w:endnote w:type="continuationSeparator" w:id="0">
    <w:p w14:paraId="2E024AA4" w14:textId="77777777" w:rsidR="000F53FF" w:rsidRDefault="000F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A76A" w14:textId="77777777" w:rsidR="006A603C" w:rsidRDefault="00FF5FFA">
    <w:pPr>
      <w:tabs>
        <w:tab w:val="center" w:pos="5310"/>
        <w:tab w:val="center" w:pos="9519"/>
      </w:tabs>
      <w:spacing w:after="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B8FF826" wp14:editId="0D2FC1B2">
              <wp:simplePos x="0" y="0"/>
              <wp:positionH relativeFrom="page">
                <wp:posOffset>438785</wp:posOffset>
              </wp:positionH>
              <wp:positionV relativeFrom="page">
                <wp:posOffset>9059596</wp:posOffset>
              </wp:positionV>
              <wp:extent cx="6894831" cy="6350"/>
              <wp:effectExtent l="0" t="0" r="0" b="0"/>
              <wp:wrapSquare wrapText="bothSides"/>
              <wp:docPr id="3277" name="Group 3277"/>
              <wp:cNvGraphicFramePr/>
              <a:graphic xmlns:a="http://schemas.openxmlformats.org/drawingml/2006/main">
                <a:graphicData uri="http://schemas.microsoft.com/office/word/2010/wordprocessingGroup">
                  <wpg:wgp>
                    <wpg:cNvGrpSpPr/>
                    <wpg:grpSpPr>
                      <a:xfrm>
                        <a:off x="0" y="0"/>
                        <a:ext cx="6894831" cy="6350"/>
                        <a:chOff x="0" y="0"/>
                        <a:chExt cx="6894831" cy="6350"/>
                      </a:xfrm>
                    </wpg:grpSpPr>
                    <wps:wsp>
                      <wps:cNvPr id="3278" name="Shape 3278"/>
                      <wps:cNvSpPr/>
                      <wps:spPr>
                        <a:xfrm>
                          <a:off x="0" y="0"/>
                          <a:ext cx="6894831" cy="0"/>
                        </a:xfrm>
                        <a:custGeom>
                          <a:avLst/>
                          <a:gdLst/>
                          <a:ahLst/>
                          <a:cxnLst/>
                          <a:rect l="0" t="0" r="0" b="0"/>
                          <a:pathLst>
                            <a:path w="6894831">
                              <a:moveTo>
                                <a:pt x="0" y="0"/>
                              </a:moveTo>
                              <a:lnTo>
                                <a:pt x="689483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77" style="width:542.9pt;height:0.5pt;position:absolute;mso-position-horizontal-relative:page;mso-position-horizontal:absolute;margin-left:34.55pt;mso-position-vertical-relative:page;margin-top:713.354pt;" coordsize="68948,63">
              <v:shape id="Shape 3278" style="position:absolute;width:68948;height:0;left:0;top:0;" coordsize="6894831,0" path="m0,0l6894831,0">
                <v:stroke weight="0.5pt" endcap="flat" joinstyle="miter" miterlimit="10" on="true" color="#000000"/>
                <v:fill on="false" color="#000000" opacity="0"/>
              </v:shape>
              <w10:wrap type="square"/>
            </v:group>
          </w:pict>
        </mc:Fallback>
      </mc:AlternateContent>
    </w:r>
    <w:r>
      <w:rPr>
        <w:color w:val="0563C1"/>
        <w:sz w:val="18"/>
        <w:u w:val="single" w:color="0563C1"/>
      </w:rPr>
      <w:t>Department of Local Services, Permitting Division</w:t>
    </w:r>
    <w:r>
      <w:rPr>
        <w:color w:val="0563C1"/>
        <w:sz w:val="18"/>
        <w:u w:val="single" w:color="0563C1"/>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ab/>
    </w:r>
    <w:r>
      <w:rPr>
        <w:b/>
        <w:sz w:val="18"/>
      </w:rPr>
      <w:t>206-296-6600</w:t>
    </w:r>
  </w:p>
  <w:p w14:paraId="40AA53A4" w14:textId="77777777" w:rsidR="006A603C" w:rsidRDefault="00FF5FFA">
    <w:pPr>
      <w:tabs>
        <w:tab w:val="center" w:pos="9350"/>
      </w:tabs>
      <w:spacing w:after="5" w:line="259" w:lineRule="auto"/>
      <w:ind w:left="0" w:firstLine="0"/>
      <w:jc w:val="left"/>
    </w:pPr>
    <w:r>
      <w:rPr>
        <w:sz w:val="18"/>
      </w:rPr>
      <w:t>919 SW Grady Way, Suite 300</w:t>
    </w:r>
    <w:r>
      <w:rPr>
        <w:sz w:val="18"/>
      </w:rPr>
      <w:tab/>
    </w:r>
    <w:r>
      <w:rPr>
        <w:b/>
        <w:sz w:val="18"/>
      </w:rPr>
      <w:t xml:space="preserve">   </w:t>
    </w:r>
    <w:r>
      <w:rPr>
        <w:sz w:val="18"/>
      </w:rPr>
      <w:t>TTY Relay:  711</w:t>
    </w:r>
  </w:p>
  <w:p w14:paraId="61579504" w14:textId="77777777" w:rsidR="006A603C" w:rsidRDefault="00FF5FFA">
    <w:pPr>
      <w:tabs>
        <w:tab w:val="center" w:pos="5310"/>
        <w:tab w:val="center" w:pos="9260"/>
      </w:tabs>
      <w:spacing w:after="0" w:line="259" w:lineRule="auto"/>
      <w:ind w:left="0" w:firstLine="0"/>
      <w:jc w:val="left"/>
    </w:pPr>
    <w:r>
      <w:rPr>
        <w:sz w:val="18"/>
      </w:rPr>
      <w:t>Renton, WA  98057</w:t>
    </w:r>
    <w:r>
      <w:rPr>
        <w:sz w:val="18"/>
      </w:rPr>
      <w:tab/>
      <w:t>December 2022</w:t>
    </w:r>
    <w:r>
      <w:rPr>
        <w:sz w:val="18"/>
      </w:rPr>
      <w:tab/>
    </w:r>
    <w:r>
      <w:rPr>
        <w:color w:val="0563C1"/>
        <w:sz w:val="18"/>
        <w:u w:val="single" w:color="0563C1"/>
      </w:rPr>
      <w:t>www.kingcounty.gov</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952E" w14:textId="77777777" w:rsidR="00442968" w:rsidRPr="00E32DCD" w:rsidRDefault="00442968" w:rsidP="00442968">
    <w:pPr>
      <w:pStyle w:val="Footer"/>
      <w:pBdr>
        <w:top w:val="single" w:sz="4" w:space="1" w:color="auto"/>
      </w:pBdr>
      <w:tabs>
        <w:tab w:val="clear" w:pos="4680"/>
        <w:tab w:val="clear" w:pos="9360"/>
        <w:tab w:val="center" w:pos="5310"/>
        <w:tab w:val="right" w:pos="10080"/>
      </w:tabs>
      <w:rPr>
        <w:rFonts w:ascii="Arial" w:hAnsi="Arial" w:cs="Arial"/>
        <w:sz w:val="18"/>
        <w:szCs w:val="18"/>
      </w:rPr>
    </w:pPr>
    <w:hyperlink r:id="rId1" w:history="1">
      <w:r w:rsidRPr="00A5433E">
        <w:rPr>
          <w:rStyle w:val="Hyperlink"/>
          <w:rFonts w:ascii="Arial" w:hAnsi="Arial" w:cs="Arial"/>
          <w:sz w:val="18"/>
          <w:szCs w:val="18"/>
        </w:rPr>
        <w:t>Department of Local Services, Permitting Division</w:t>
      </w:r>
    </w:hyperlink>
    <w:r w:rsidRPr="00A5433E">
      <w:rPr>
        <w:rFonts w:ascii="Arial" w:hAnsi="Arial" w:cs="Arial"/>
        <w:sz w:val="18"/>
        <w:szCs w:val="18"/>
      </w:rPr>
      <w:tab/>
      <w:t xml:space="preserve">Page </w:t>
    </w:r>
    <w:r w:rsidRPr="00A5433E">
      <w:rPr>
        <w:rFonts w:ascii="Arial" w:hAnsi="Arial" w:cs="Arial"/>
        <w:sz w:val="18"/>
        <w:szCs w:val="18"/>
      </w:rPr>
      <w:fldChar w:fldCharType="begin"/>
    </w:r>
    <w:r w:rsidRPr="00A5433E">
      <w:rPr>
        <w:rFonts w:ascii="Arial" w:hAnsi="Arial" w:cs="Arial"/>
        <w:sz w:val="18"/>
        <w:szCs w:val="18"/>
      </w:rPr>
      <w:instrText xml:space="preserve"> PAGE   \* MERGEFORMAT </w:instrText>
    </w:r>
    <w:r w:rsidRPr="00A5433E">
      <w:rPr>
        <w:rFonts w:ascii="Arial" w:hAnsi="Arial" w:cs="Arial"/>
        <w:sz w:val="18"/>
        <w:szCs w:val="18"/>
      </w:rPr>
      <w:fldChar w:fldCharType="separate"/>
    </w:r>
    <w:r>
      <w:rPr>
        <w:sz w:val="18"/>
        <w:szCs w:val="18"/>
      </w:rPr>
      <w:t>1</w:t>
    </w:r>
    <w:r w:rsidRPr="00A5433E">
      <w:rPr>
        <w:rFonts w:ascii="Arial" w:hAnsi="Arial" w:cs="Arial"/>
        <w:sz w:val="18"/>
        <w:szCs w:val="18"/>
      </w:rPr>
      <w:fldChar w:fldCharType="end"/>
    </w:r>
    <w:r w:rsidRPr="00A5433E">
      <w:rPr>
        <w:rFonts w:ascii="Arial" w:hAnsi="Arial" w:cs="Arial"/>
        <w:sz w:val="18"/>
        <w:szCs w:val="18"/>
      </w:rPr>
      <w:t xml:space="preserve"> of </w:t>
    </w:r>
    <w:r w:rsidRPr="00A5433E">
      <w:rPr>
        <w:rFonts w:ascii="Arial" w:hAnsi="Arial" w:cs="Arial"/>
        <w:sz w:val="18"/>
        <w:szCs w:val="18"/>
      </w:rPr>
      <w:fldChar w:fldCharType="begin"/>
    </w:r>
    <w:r w:rsidRPr="00A5433E">
      <w:rPr>
        <w:rFonts w:ascii="Arial" w:hAnsi="Arial" w:cs="Arial"/>
        <w:sz w:val="18"/>
        <w:szCs w:val="18"/>
      </w:rPr>
      <w:instrText xml:space="preserve"> NUMPAGES   \* MERGEFORMAT </w:instrText>
    </w:r>
    <w:r w:rsidRPr="00A5433E">
      <w:rPr>
        <w:rFonts w:ascii="Arial" w:hAnsi="Arial" w:cs="Arial"/>
        <w:sz w:val="18"/>
        <w:szCs w:val="18"/>
      </w:rPr>
      <w:fldChar w:fldCharType="separate"/>
    </w:r>
    <w:r>
      <w:rPr>
        <w:sz w:val="18"/>
        <w:szCs w:val="18"/>
      </w:rPr>
      <w:t>3</w:t>
    </w:r>
    <w:r w:rsidRPr="00A5433E">
      <w:rPr>
        <w:rFonts w:ascii="Arial" w:hAnsi="Arial" w:cs="Arial"/>
        <w:sz w:val="18"/>
        <w:szCs w:val="18"/>
      </w:rPr>
      <w:fldChar w:fldCharType="end"/>
    </w:r>
    <w:r w:rsidRPr="00A5433E">
      <w:rPr>
        <w:rFonts w:ascii="Arial" w:hAnsi="Arial" w:cs="Arial"/>
        <w:sz w:val="18"/>
        <w:szCs w:val="18"/>
      </w:rPr>
      <w:tab/>
    </w:r>
    <w:r w:rsidRPr="00A5433E">
      <w:rPr>
        <w:rFonts w:ascii="Arial" w:hAnsi="Arial" w:cs="Arial"/>
        <w:b/>
        <w:sz w:val="18"/>
        <w:szCs w:val="18"/>
      </w:rPr>
      <w:t>206-296-6600</w:t>
    </w:r>
    <w:r w:rsidRPr="00A5433E">
      <w:rPr>
        <w:rFonts w:ascii="Arial" w:hAnsi="Arial" w:cs="Arial"/>
        <w:sz w:val="18"/>
        <w:szCs w:val="18"/>
      </w:rPr>
      <w:br/>
    </w:r>
    <w:hyperlink r:id="rId2">
      <w:r w:rsidRPr="00A5433E">
        <w:rPr>
          <w:rStyle w:val="Hyperlink"/>
          <w:rFonts w:ascii="Arial" w:hAnsi="Arial" w:cs="Arial"/>
          <w:sz w:val="18"/>
          <w:szCs w:val="18"/>
        </w:rPr>
        <w:t>www.kingcounty.gov</w:t>
      </w:r>
    </w:hyperlink>
    <w:r w:rsidRPr="00A5433E">
      <w:rPr>
        <w:rFonts w:ascii="Arial" w:hAnsi="Arial" w:cs="Arial"/>
        <w:sz w:val="18"/>
        <w:szCs w:val="18"/>
      </w:rPr>
      <w:tab/>
    </w:r>
    <w:r>
      <w:rPr>
        <w:rFonts w:ascii="Arial" w:hAnsi="Arial" w:cs="Arial"/>
        <w:sz w:val="18"/>
        <w:szCs w:val="18"/>
      </w:rPr>
      <w:t>December 2025</w:t>
    </w:r>
    <w:r w:rsidRPr="00A5433E">
      <w:rPr>
        <w:rFonts w:ascii="Arial" w:hAnsi="Arial" w:cs="Arial"/>
        <w:sz w:val="18"/>
        <w:szCs w:val="18"/>
      </w:rPr>
      <w:tab/>
    </w:r>
    <w:r w:rsidRPr="00A5433E">
      <w:rPr>
        <w:rFonts w:ascii="Arial" w:hAnsi="Arial" w:cs="Arial"/>
        <w:b/>
        <w:sz w:val="18"/>
        <w:szCs w:val="18"/>
      </w:rPr>
      <w:t xml:space="preserve">   </w:t>
    </w:r>
    <w:r w:rsidRPr="00A5433E">
      <w:rPr>
        <w:rFonts w:ascii="Arial" w:hAnsi="Arial" w:cs="Arial"/>
        <w:sz w:val="18"/>
        <w:szCs w:val="18"/>
      </w:rPr>
      <w:t xml:space="preserve">TTY Relay: </w:t>
    </w:r>
    <w:r w:rsidRPr="00A5433E">
      <w:rPr>
        <w:rFonts w:ascii="Arial" w:hAnsi="Arial" w:cs="Arial"/>
        <w:spacing w:val="10"/>
        <w:sz w:val="18"/>
        <w:szCs w:val="18"/>
      </w:rPr>
      <w:t xml:space="preserve"> </w:t>
    </w:r>
    <w:r w:rsidRPr="00A5433E">
      <w:rPr>
        <w:rFonts w:ascii="Arial" w:hAnsi="Arial" w:cs="Arial"/>
        <w:sz w:val="18"/>
        <w:szCs w:val="18"/>
      </w:rPr>
      <w:t>711</w:t>
    </w:r>
  </w:p>
  <w:p w14:paraId="557521E0" w14:textId="41527FFD" w:rsidR="006A603C" w:rsidRDefault="00FF5FFA">
    <w:pPr>
      <w:tabs>
        <w:tab w:val="center" w:pos="5310"/>
        <w:tab w:val="center" w:pos="9260"/>
      </w:tabs>
      <w:spacing w:after="0" w:line="259" w:lineRule="auto"/>
      <w:ind w:left="0" w:firstLine="0"/>
      <w:jc w:val="left"/>
    </w:pPr>
    <w:r>
      <w:rPr>
        <w:sz w:val="18"/>
      </w:rPr>
      <w:tab/>
    </w:r>
    <w:r>
      <w:rPr>
        <w:sz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C823" w14:textId="77777777" w:rsidR="006A603C" w:rsidRDefault="00FF5FFA">
    <w:pPr>
      <w:tabs>
        <w:tab w:val="center" w:pos="5310"/>
        <w:tab w:val="center" w:pos="9519"/>
      </w:tabs>
      <w:spacing w:after="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77CF749" wp14:editId="3027661D">
              <wp:simplePos x="0" y="0"/>
              <wp:positionH relativeFrom="page">
                <wp:posOffset>438785</wp:posOffset>
              </wp:positionH>
              <wp:positionV relativeFrom="page">
                <wp:posOffset>9059596</wp:posOffset>
              </wp:positionV>
              <wp:extent cx="6894831" cy="6350"/>
              <wp:effectExtent l="0" t="0" r="0" b="0"/>
              <wp:wrapSquare wrapText="bothSides"/>
              <wp:docPr id="3209" name="Group 3209"/>
              <wp:cNvGraphicFramePr/>
              <a:graphic xmlns:a="http://schemas.openxmlformats.org/drawingml/2006/main">
                <a:graphicData uri="http://schemas.microsoft.com/office/word/2010/wordprocessingGroup">
                  <wpg:wgp>
                    <wpg:cNvGrpSpPr/>
                    <wpg:grpSpPr>
                      <a:xfrm>
                        <a:off x="0" y="0"/>
                        <a:ext cx="6894831" cy="6350"/>
                        <a:chOff x="0" y="0"/>
                        <a:chExt cx="6894831" cy="6350"/>
                      </a:xfrm>
                    </wpg:grpSpPr>
                    <wps:wsp>
                      <wps:cNvPr id="3210" name="Shape 3210"/>
                      <wps:cNvSpPr/>
                      <wps:spPr>
                        <a:xfrm>
                          <a:off x="0" y="0"/>
                          <a:ext cx="6894831" cy="0"/>
                        </a:xfrm>
                        <a:custGeom>
                          <a:avLst/>
                          <a:gdLst/>
                          <a:ahLst/>
                          <a:cxnLst/>
                          <a:rect l="0" t="0" r="0" b="0"/>
                          <a:pathLst>
                            <a:path w="6894831">
                              <a:moveTo>
                                <a:pt x="0" y="0"/>
                              </a:moveTo>
                              <a:lnTo>
                                <a:pt x="689483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09" style="width:542.9pt;height:0.5pt;position:absolute;mso-position-horizontal-relative:page;mso-position-horizontal:absolute;margin-left:34.55pt;mso-position-vertical-relative:page;margin-top:713.354pt;" coordsize="68948,63">
              <v:shape id="Shape 3210" style="position:absolute;width:68948;height:0;left:0;top:0;" coordsize="6894831,0" path="m0,0l6894831,0">
                <v:stroke weight="0.5pt" endcap="flat" joinstyle="miter" miterlimit="10" on="true" color="#000000"/>
                <v:fill on="false" color="#000000" opacity="0"/>
              </v:shape>
              <w10:wrap type="square"/>
            </v:group>
          </w:pict>
        </mc:Fallback>
      </mc:AlternateContent>
    </w:r>
    <w:r>
      <w:rPr>
        <w:color w:val="0563C1"/>
        <w:sz w:val="18"/>
        <w:u w:val="single" w:color="0563C1"/>
      </w:rPr>
      <w:t>Department of Local Services, Permitting Division</w:t>
    </w:r>
    <w:r>
      <w:rPr>
        <w:color w:val="0563C1"/>
        <w:sz w:val="18"/>
        <w:u w:val="single" w:color="0563C1"/>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ab/>
    </w:r>
    <w:r>
      <w:rPr>
        <w:b/>
        <w:sz w:val="18"/>
      </w:rPr>
      <w:t>206-296-6600</w:t>
    </w:r>
  </w:p>
  <w:p w14:paraId="148A9DF1" w14:textId="77777777" w:rsidR="006A603C" w:rsidRDefault="00FF5FFA">
    <w:pPr>
      <w:tabs>
        <w:tab w:val="center" w:pos="9350"/>
      </w:tabs>
      <w:spacing w:after="5" w:line="259" w:lineRule="auto"/>
      <w:ind w:left="0" w:firstLine="0"/>
      <w:jc w:val="left"/>
    </w:pPr>
    <w:r>
      <w:rPr>
        <w:sz w:val="18"/>
      </w:rPr>
      <w:t>919 SW Grady Way, Suite 300</w:t>
    </w:r>
    <w:r>
      <w:rPr>
        <w:sz w:val="18"/>
      </w:rPr>
      <w:tab/>
    </w:r>
    <w:r>
      <w:rPr>
        <w:b/>
        <w:sz w:val="18"/>
      </w:rPr>
      <w:t xml:space="preserve">   </w:t>
    </w:r>
    <w:r>
      <w:rPr>
        <w:sz w:val="18"/>
      </w:rPr>
      <w:t>TTY Relay:  711</w:t>
    </w:r>
  </w:p>
  <w:p w14:paraId="24D9D502" w14:textId="77777777" w:rsidR="006A603C" w:rsidRDefault="00FF5FFA">
    <w:pPr>
      <w:tabs>
        <w:tab w:val="center" w:pos="5310"/>
        <w:tab w:val="center" w:pos="9260"/>
      </w:tabs>
      <w:spacing w:after="0" w:line="259" w:lineRule="auto"/>
      <w:ind w:left="0" w:firstLine="0"/>
      <w:jc w:val="left"/>
    </w:pPr>
    <w:r>
      <w:rPr>
        <w:sz w:val="18"/>
      </w:rPr>
      <w:t>Renton, WA  98057</w:t>
    </w:r>
    <w:r>
      <w:rPr>
        <w:sz w:val="18"/>
      </w:rPr>
      <w:tab/>
      <w:t>December 2022</w:t>
    </w:r>
    <w:r>
      <w:rPr>
        <w:sz w:val="18"/>
      </w:rPr>
      <w:tab/>
    </w:r>
    <w:r>
      <w:rPr>
        <w:color w:val="0563C1"/>
        <w:sz w:val="18"/>
        <w:u w:val="single" w:color="0563C1"/>
      </w:rPr>
      <w:t>www.kingcounty.gov</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FB3E" w14:textId="77777777" w:rsidR="000F53FF" w:rsidRDefault="000F53FF">
      <w:pPr>
        <w:spacing w:after="0" w:line="240" w:lineRule="auto"/>
      </w:pPr>
      <w:r>
        <w:separator/>
      </w:r>
    </w:p>
  </w:footnote>
  <w:footnote w:type="continuationSeparator" w:id="0">
    <w:p w14:paraId="792E5754" w14:textId="77777777" w:rsidR="000F53FF" w:rsidRDefault="000F5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DCB6" w14:textId="77777777" w:rsidR="00EF2CC2" w:rsidRDefault="00EF2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858D" w14:textId="77777777" w:rsidR="00EF2CC2" w:rsidRDefault="00EF2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808C" w14:textId="77777777" w:rsidR="00EF2CC2" w:rsidRDefault="00EF2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6575"/>
    <w:multiLevelType w:val="hybridMultilevel"/>
    <w:tmpl w:val="F1C6D2A2"/>
    <w:lvl w:ilvl="0" w:tplc="4E56B0CE">
      <w:start w:val="2024"/>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77A9FD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0BCB38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616702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8A0E95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E2EA32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F8A1AD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01C8DC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B5AEDC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AE534A"/>
    <w:multiLevelType w:val="hybridMultilevel"/>
    <w:tmpl w:val="0B343BD4"/>
    <w:lvl w:ilvl="0" w:tplc="9ADA3C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BAA078">
      <w:start w:val="1"/>
      <w:numFmt w:val="bullet"/>
      <w:lvlText w:val="o"/>
      <w:lvlJc w:val="left"/>
      <w:pPr>
        <w:ind w:left="1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3000EC">
      <w:start w:val="1"/>
      <w:numFmt w:val="bullet"/>
      <w:lvlText w:val="▪"/>
      <w:lvlJc w:val="left"/>
      <w:pPr>
        <w:ind w:left="2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DC0466">
      <w:start w:val="1"/>
      <w:numFmt w:val="bullet"/>
      <w:lvlText w:val="•"/>
      <w:lvlJc w:val="left"/>
      <w:pPr>
        <w:ind w:left="2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0E4D9A">
      <w:start w:val="1"/>
      <w:numFmt w:val="bullet"/>
      <w:lvlText w:val="o"/>
      <w:lvlJc w:val="left"/>
      <w:pPr>
        <w:ind w:left="3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E4CB64">
      <w:start w:val="1"/>
      <w:numFmt w:val="bullet"/>
      <w:lvlText w:val="▪"/>
      <w:lvlJc w:val="left"/>
      <w:pPr>
        <w:ind w:left="4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B22CA4">
      <w:start w:val="1"/>
      <w:numFmt w:val="bullet"/>
      <w:lvlText w:val="•"/>
      <w:lvlJc w:val="left"/>
      <w:pPr>
        <w:ind w:left="4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3A472E">
      <w:start w:val="1"/>
      <w:numFmt w:val="bullet"/>
      <w:lvlText w:val="o"/>
      <w:lvlJc w:val="left"/>
      <w:pPr>
        <w:ind w:left="5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706F70">
      <w:start w:val="1"/>
      <w:numFmt w:val="bullet"/>
      <w:lvlText w:val="▪"/>
      <w:lvlJc w:val="left"/>
      <w:pPr>
        <w:ind w:left="6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616F3E"/>
    <w:multiLevelType w:val="hybridMultilevel"/>
    <w:tmpl w:val="AC5613C8"/>
    <w:lvl w:ilvl="0" w:tplc="68921CDC">
      <w:start w:val="2025"/>
      <w:numFmt w:val="decimal"/>
      <w:lvlText w:val="%1"/>
      <w:lvlJc w:val="left"/>
      <w:pPr>
        <w:ind w:left="530" w:hanging="5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16cid:durableId="530580626">
    <w:abstractNumId w:val="1"/>
  </w:num>
  <w:num w:numId="2" w16cid:durableId="1035621120">
    <w:abstractNumId w:val="0"/>
  </w:num>
  <w:num w:numId="3" w16cid:durableId="783695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3C"/>
    <w:rsid w:val="00053115"/>
    <w:rsid w:val="000774B9"/>
    <w:rsid w:val="000D31E4"/>
    <w:rsid w:val="000F53FF"/>
    <w:rsid w:val="001B63B6"/>
    <w:rsid w:val="002163DC"/>
    <w:rsid w:val="002237FC"/>
    <w:rsid w:val="002623DB"/>
    <w:rsid w:val="00271784"/>
    <w:rsid w:val="002A48F2"/>
    <w:rsid w:val="002D4AA2"/>
    <w:rsid w:val="00304EAD"/>
    <w:rsid w:val="003800EA"/>
    <w:rsid w:val="00404EAC"/>
    <w:rsid w:val="00410330"/>
    <w:rsid w:val="00442968"/>
    <w:rsid w:val="004B2C9D"/>
    <w:rsid w:val="004B5F7C"/>
    <w:rsid w:val="004C25CE"/>
    <w:rsid w:val="005B1A9C"/>
    <w:rsid w:val="006607E4"/>
    <w:rsid w:val="006A603C"/>
    <w:rsid w:val="007067D0"/>
    <w:rsid w:val="00755681"/>
    <w:rsid w:val="007D13B1"/>
    <w:rsid w:val="00871D49"/>
    <w:rsid w:val="0094389C"/>
    <w:rsid w:val="00950C0B"/>
    <w:rsid w:val="00996350"/>
    <w:rsid w:val="00AF187D"/>
    <w:rsid w:val="00B02083"/>
    <w:rsid w:val="00B54FD9"/>
    <w:rsid w:val="00B6256D"/>
    <w:rsid w:val="00B63DAC"/>
    <w:rsid w:val="00C473B4"/>
    <w:rsid w:val="00CB1BDE"/>
    <w:rsid w:val="00CC4AC6"/>
    <w:rsid w:val="00DC097C"/>
    <w:rsid w:val="00E13159"/>
    <w:rsid w:val="00EF2CC2"/>
    <w:rsid w:val="00F21B04"/>
    <w:rsid w:val="00FA357B"/>
    <w:rsid w:val="00FB3CDF"/>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2B1B3"/>
  <w15:docId w15:val="{60F6DE4A-4485-4F81-9576-C344D84E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2"/>
      </w:numPr>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FFA"/>
    <w:rPr>
      <w:rFonts w:ascii="Arial" w:eastAsia="Arial" w:hAnsi="Arial" w:cs="Arial"/>
      <w:color w:val="000000"/>
      <w:sz w:val="24"/>
    </w:rPr>
  </w:style>
  <w:style w:type="character" w:styleId="CommentReference">
    <w:name w:val="annotation reference"/>
    <w:basedOn w:val="DefaultParagraphFont"/>
    <w:uiPriority w:val="99"/>
    <w:semiHidden/>
    <w:unhideWhenUsed/>
    <w:rsid w:val="002623DB"/>
    <w:rPr>
      <w:sz w:val="16"/>
      <w:szCs w:val="16"/>
    </w:rPr>
  </w:style>
  <w:style w:type="paragraph" w:styleId="CommentText">
    <w:name w:val="annotation text"/>
    <w:basedOn w:val="Normal"/>
    <w:link w:val="CommentTextChar"/>
    <w:uiPriority w:val="99"/>
    <w:unhideWhenUsed/>
    <w:rsid w:val="002623DB"/>
    <w:pPr>
      <w:spacing w:line="240" w:lineRule="auto"/>
    </w:pPr>
    <w:rPr>
      <w:sz w:val="20"/>
      <w:szCs w:val="20"/>
    </w:rPr>
  </w:style>
  <w:style w:type="character" w:customStyle="1" w:styleId="CommentTextChar">
    <w:name w:val="Comment Text Char"/>
    <w:basedOn w:val="DefaultParagraphFont"/>
    <w:link w:val="CommentText"/>
    <w:uiPriority w:val="99"/>
    <w:rsid w:val="002623D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23DB"/>
    <w:rPr>
      <w:b/>
      <w:bCs/>
    </w:rPr>
  </w:style>
  <w:style w:type="character" w:customStyle="1" w:styleId="CommentSubjectChar">
    <w:name w:val="Comment Subject Char"/>
    <w:basedOn w:val="CommentTextChar"/>
    <w:link w:val="CommentSubject"/>
    <w:uiPriority w:val="99"/>
    <w:semiHidden/>
    <w:rsid w:val="002623DB"/>
    <w:rPr>
      <w:rFonts w:ascii="Arial" w:eastAsia="Arial" w:hAnsi="Arial" w:cs="Arial"/>
      <w:b/>
      <w:bCs/>
      <w:color w:val="000000"/>
      <w:sz w:val="20"/>
      <w:szCs w:val="20"/>
    </w:rPr>
  </w:style>
  <w:style w:type="paragraph" w:styleId="Footer">
    <w:name w:val="footer"/>
    <w:basedOn w:val="Normal"/>
    <w:link w:val="FooterChar"/>
    <w:uiPriority w:val="99"/>
    <w:unhideWhenUsed/>
    <w:rsid w:val="00442968"/>
    <w:pPr>
      <w:tabs>
        <w:tab w:val="center" w:pos="4680"/>
        <w:tab w:val="right" w:pos="9360"/>
      </w:tabs>
      <w:spacing w:after="0" w:line="240" w:lineRule="auto"/>
      <w:ind w:left="0" w:firstLine="0"/>
      <w:jc w:val="left"/>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442968"/>
    <w:rPr>
      <w:rFonts w:eastAsiaTheme="minorHAnsi"/>
    </w:rPr>
  </w:style>
  <w:style w:type="character" w:styleId="Hyperlink">
    <w:name w:val="Hyperlink"/>
    <w:basedOn w:val="DefaultParagraphFont"/>
    <w:uiPriority w:val="99"/>
    <w:unhideWhenUsed/>
    <w:rsid w:val="004429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kingcounty.gov/" TargetMode="External"/><Relationship Id="rId1" Type="http://schemas.openxmlformats.org/officeDocument/2006/relationships/hyperlink" Target="https://kingcounty.gov/depts/local-services/permi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2019 Adopted Fees, School Impact Mitigation 03, 2019_03_01</vt:lpstr>
    </vt:vector>
  </TitlesOfParts>
  <Company>King County</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Adopted Fees, School Impact Mitigation 03, 2019_03_01</dc:title>
  <dc:subject/>
  <dc:creator>King County DPER</dc:creator>
  <cp:keywords/>
  <cp:lastModifiedBy>Cheney, Warren</cp:lastModifiedBy>
  <cp:revision>23</cp:revision>
  <dcterms:created xsi:type="dcterms:W3CDTF">2024-11-20T00:29:00Z</dcterms:created>
  <dcterms:modified xsi:type="dcterms:W3CDTF">2025-12-04T03:38:00Z</dcterms:modified>
</cp:coreProperties>
</file>